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612E9" w14:textId="77777777" w:rsidR="00A3532F" w:rsidRDefault="00A3532F">
      <w:pPr>
        <w:pBdr>
          <w:top w:val="nil"/>
          <w:left w:val="nil"/>
          <w:bottom w:val="nil"/>
          <w:right w:val="nil"/>
          <w:between w:val="nil"/>
        </w:pBdr>
        <w:tabs>
          <w:tab w:val="center" w:pos="4513"/>
          <w:tab w:val="right" w:pos="9026"/>
        </w:tabs>
        <w:spacing w:after="0" w:line="240" w:lineRule="auto"/>
        <w:ind w:left="2" w:hanging="4"/>
        <w:jc w:val="left"/>
        <w:rPr>
          <w:rFonts w:ascii="Arial" w:eastAsia="Arial" w:hAnsi="Arial" w:cs="Arial"/>
          <w:color w:val="000000"/>
          <w:sz w:val="36"/>
          <w:szCs w:val="36"/>
        </w:rPr>
      </w:pPr>
    </w:p>
    <w:p w14:paraId="5AF612EA" w14:textId="77777777" w:rsidR="00A3532F" w:rsidRDefault="00F837C0">
      <w:pPr>
        <w:pBdr>
          <w:top w:val="nil"/>
          <w:left w:val="nil"/>
          <w:bottom w:val="nil"/>
          <w:right w:val="nil"/>
          <w:between w:val="nil"/>
        </w:pBdr>
        <w:tabs>
          <w:tab w:val="center" w:pos="4513"/>
          <w:tab w:val="right" w:pos="9026"/>
        </w:tabs>
        <w:spacing w:after="0" w:line="240" w:lineRule="auto"/>
        <w:ind w:left="2" w:hanging="4"/>
        <w:jc w:val="left"/>
        <w:rPr>
          <w:rFonts w:ascii="Arial" w:eastAsia="Arial" w:hAnsi="Arial" w:cs="Arial"/>
          <w:color w:val="000000"/>
          <w:sz w:val="36"/>
          <w:szCs w:val="36"/>
        </w:rPr>
      </w:pPr>
      <w:r>
        <w:rPr>
          <w:rFonts w:ascii="Arial" w:eastAsia="Arial" w:hAnsi="Arial" w:cs="Arial"/>
          <w:b/>
          <w:color w:val="000000"/>
          <w:sz w:val="36"/>
          <w:szCs w:val="36"/>
        </w:rPr>
        <w:t>Order Schedule 6 (ICT Services)</w:t>
      </w:r>
    </w:p>
    <w:p w14:paraId="5AF612EB" w14:textId="77777777" w:rsidR="00A3532F" w:rsidRDefault="00F837C0">
      <w:pPr>
        <w:numPr>
          <w:ilvl w:val="0"/>
          <w:numId w:val="1"/>
        </w:numPr>
        <w:pBdr>
          <w:top w:val="nil"/>
          <w:left w:val="nil"/>
          <w:bottom w:val="nil"/>
          <w:right w:val="nil"/>
          <w:between w:val="nil"/>
        </w:pBdr>
        <w:tabs>
          <w:tab w:val="left" w:pos="142"/>
        </w:tabs>
        <w:spacing w:before="120" w:line="240" w:lineRule="auto"/>
        <w:ind w:left="0" w:hanging="2"/>
        <w:jc w:val="left"/>
        <w:rPr>
          <w:rFonts w:ascii="Arial" w:eastAsia="Arial" w:hAnsi="Arial" w:cs="Arial"/>
          <w:b/>
          <w:smallCaps/>
          <w:color w:val="000000"/>
          <w:sz w:val="24"/>
          <w:szCs w:val="24"/>
        </w:rPr>
      </w:pPr>
      <w:bookmarkStart w:id="0" w:name="_heading=h.gjdgxs" w:colFirst="0" w:colLast="0"/>
      <w:bookmarkEnd w:id="0"/>
      <w:r>
        <w:rPr>
          <w:rFonts w:ascii="Arial" w:eastAsia="Arial" w:hAnsi="Arial" w:cs="Arial"/>
          <w:b/>
          <w:smallCaps/>
          <w:color w:val="000000"/>
          <w:sz w:val="24"/>
          <w:szCs w:val="24"/>
        </w:rPr>
        <w:t>D</w:t>
      </w:r>
      <w:r>
        <w:rPr>
          <w:rFonts w:ascii="Arial Bold" w:eastAsia="Arial Bold" w:hAnsi="Arial Bold" w:cs="Arial Bold"/>
          <w:b/>
          <w:color w:val="000000"/>
          <w:sz w:val="24"/>
          <w:szCs w:val="24"/>
        </w:rPr>
        <w:t>efinitions</w:t>
      </w:r>
    </w:p>
    <w:p w14:paraId="5AF612EC"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In this Schedule, the following words shall have the following meanings and they shall supplement Joint Schedule 1 (Definitions):</w:t>
      </w:r>
    </w:p>
    <w:tbl>
      <w:tblPr>
        <w:tblStyle w:val="a"/>
        <w:tblW w:w="8414" w:type="dxa"/>
        <w:tblInd w:w="828" w:type="dxa"/>
        <w:tblLayout w:type="fixed"/>
        <w:tblLook w:val="0000" w:firstRow="0" w:lastRow="0" w:firstColumn="0" w:lastColumn="0" w:noHBand="0" w:noVBand="0"/>
      </w:tblPr>
      <w:tblGrid>
        <w:gridCol w:w="2790"/>
        <w:gridCol w:w="59"/>
        <w:gridCol w:w="5565"/>
      </w:tblGrid>
      <w:tr w:rsidR="00A3532F" w14:paraId="5AF612EF" w14:textId="77777777">
        <w:tc>
          <w:tcPr>
            <w:tcW w:w="2790" w:type="dxa"/>
          </w:tcPr>
          <w:p w14:paraId="5AF612ED"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 xml:space="preserve">"Buyer Property" </w:t>
            </w:r>
          </w:p>
        </w:tc>
        <w:tc>
          <w:tcPr>
            <w:tcW w:w="5624" w:type="dxa"/>
            <w:gridSpan w:val="2"/>
          </w:tcPr>
          <w:p w14:paraId="5AF612EE"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property, other than real property and IPR, including the Buyer System, any equipment issued or made available to the Supplier by the Buyer in connection with this Contract;</w:t>
            </w:r>
          </w:p>
        </w:tc>
      </w:tr>
      <w:tr w:rsidR="00A3532F" w14:paraId="5AF612F2" w14:textId="77777777">
        <w:tc>
          <w:tcPr>
            <w:tcW w:w="2790" w:type="dxa"/>
          </w:tcPr>
          <w:p w14:paraId="5AF612F0"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"Buyer Software"</w:t>
            </w:r>
          </w:p>
        </w:tc>
        <w:tc>
          <w:tcPr>
            <w:tcW w:w="5624" w:type="dxa"/>
            <w:gridSpan w:val="2"/>
          </w:tcPr>
          <w:p w14:paraId="5AF612F1"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any software which is owned by or licensed to the Buyer and which is or will be used by the Supplier for the purposes of providing the Deliverables;</w:t>
            </w:r>
          </w:p>
        </w:tc>
      </w:tr>
      <w:tr w:rsidR="00A3532F" w14:paraId="5AF612F5" w14:textId="77777777">
        <w:tc>
          <w:tcPr>
            <w:tcW w:w="2790" w:type="dxa"/>
          </w:tcPr>
          <w:p w14:paraId="5AF612F3"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"Buyer System"</w:t>
            </w:r>
          </w:p>
        </w:tc>
        <w:tc>
          <w:tcPr>
            <w:tcW w:w="5624" w:type="dxa"/>
            <w:gridSpan w:val="2"/>
          </w:tcPr>
          <w:p w14:paraId="5AF612F4"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Buyer's computing environment (consisting of hardware, software and/or telecommunications networks or equipment) used by the Buyer or the Supplier in connection with this Contract which is owned by or licensed to the Buyer by a third party and which interfaces with the Supplier System or which is necessary for the Buyer to receive the Deliverables;</w:t>
            </w:r>
          </w:p>
        </w:tc>
      </w:tr>
      <w:tr w:rsidR="00A3532F" w14:paraId="5AF612F8" w14:textId="77777777">
        <w:tc>
          <w:tcPr>
            <w:tcW w:w="2849" w:type="dxa"/>
            <w:gridSpan w:val="2"/>
          </w:tcPr>
          <w:p w14:paraId="5AF612F6"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“Commercial off the shelf Software” or “COTS Software”</w:t>
            </w:r>
          </w:p>
        </w:tc>
        <w:tc>
          <w:tcPr>
            <w:tcW w:w="5565" w:type="dxa"/>
          </w:tcPr>
          <w:p w14:paraId="5AF612F7"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non-customised software where the IPR may be owned and licensed either by the Supplier or a third party depending on the context, and which is commercially available for purchase and subject to standard licence terms;</w:t>
            </w:r>
          </w:p>
        </w:tc>
      </w:tr>
      <w:tr w:rsidR="00A3532F" w14:paraId="5AF612FB" w14:textId="77777777">
        <w:tc>
          <w:tcPr>
            <w:tcW w:w="2790" w:type="dxa"/>
          </w:tcPr>
          <w:p w14:paraId="5AF612F9" w14:textId="77777777" w:rsidR="00A3532F" w:rsidRDefault="00A3532F">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p>
        </w:tc>
        <w:tc>
          <w:tcPr>
            <w:tcW w:w="5624" w:type="dxa"/>
            <w:gridSpan w:val="2"/>
          </w:tcPr>
          <w:p w14:paraId="5AF612FA" w14:textId="77777777" w:rsidR="00A3532F" w:rsidRDefault="00A3532F">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p>
        </w:tc>
      </w:tr>
      <w:tr w:rsidR="00A3532F" w14:paraId="5AF61300" w14:textId="77777777">
        <w:tc>
          <w:tcPr>
            <w:tcW w:w="2790" w:type="dxa"/>
          </w:tcPr>
          <w:p w14:paraId="5AF612FC"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"Defect"</w:t>
            </w:r>
          </w:p>
        </w:tc>
        <w:tc>
          <w:tcPr>
            <w:tcW w:w="5624" w:type="dxa"/>
            <w:gridSpan w:val="2"/>
          </w:tcPr>
          <w:p w14:paraId="5AF612FD" w14:textId="77777777" w:rsidR="00A3532F" w:rsidRDefault="00F837C0">
            <w:pPr>
              <w:pBdr>
                <w:top w:val="nil"/>
                <w:left w:val="nil"/>
                <w:bottom w:val="nil"/>
                <w:right w:val="nil"/>
                <w:between w:val="nil"/>
              </w:pBdr>
              <w:tabs>
                <w:tab w:val="left" w:pos="-9"/>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any of the following: </w:t>
            </w:r>
          </w:p>
          <w:p w14:paraId="5AF612FE" w14:textId="77777777" w:rsidR="00A3532F" w:rsidRDefault="00F837C0">
            <w:pPr>
              <w:numPr>
                <w:ilvl w:val="1"/>
                <w:numId w:val="5"/>
              </w:numPr>
              <w:pBdr>
                <w:top w:val="nil"/>
                <w:left w:val="nil"/>
                <w:bottom w:val="nil"/>
                <w:right w:val="nil"/>
                <w:between w:val="nil"/>
              </w:pBdr>
              <w:tabs>
                <w:tab w:val="left" w:pos="144"/>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any error, damage or defect in the manufacturing of a Deliverable; or</w:t>
            </w:r>
          </w:p>
          <w:p w14:paraId="5AF612FF" w14:textId="77777777" w:rsidR="00A3532F" w:rsidRDefault="00F837C0">
            <w:pPr>
              <w:numPr>
                <w:ilvl w:val="1"/>
                <w:numId w:val="5"/>
              </w:numPr>
              <w:pBdr>
                <w:top w:val="nil"/>
                <w:left w:val="nil"/>
                <w:bottom w:val="nil"/>
                <w:right w:val="nil"/>
                <w:between w:val="nil"/>
              </w:pBdr>
              <w:tabs>
                <w:tab w:val="left" w:pos="144"/>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any error or failure of code within the Software which causes a Deliverable to malfunction or to produce unintelligible or incorrect results; or</w:t>
            </w:r>
          </w:p>
        </w:tc>
      </w:tr>
      <w:tr w:rsidR="00A3532F" w14:paraId="5AF61304" w14:textId="77777777">
        <w:tc>
          <w:tcPr>
            <w:tcW w:w="2790" w:type="dxa"/>
          </w:tcPr>
          <w:p w14:paraId="5AF61301" w14:textId="77777777" w:rsidR="00A3532F" w:rsidRDefault="00A3532F">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p>
        </w:tc>
        <w:tc>
          <w:tcPr>
            <w:tcW w:w="5624" w:type="dxa"/>
            <w:gridSpan w:val="2"/>
          </w:tcPr>
          <w:p w14:paraId="5AF61302" w14:textId="77777777" w:rsidR="00A3532F" w:rsidRDefault="00F837C0">
            <w:pPr>
              <w:numPr>
                <w:ilvl w:val="1"/>
                <w:numId w:val="5"/>
              </w:numPr>
              <w:pBdr>
                <w:top w:val="nil"/>
                <w:left w:val="nil"/>
                <w:bottom w:val="nil"/>
                <w:right w:val="nil"/>
                <w:between w:val="nil"/>
              </w:pBdr>
              <w:tabs>
                <w:tab w:val="left" w:pos="144"/>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any failure of any Deliverable to provide the performance, features and functionality specified in the requirements of the Buyer or the Documentation (including any adverse effect on response times) regardless of whether or not it prevents the relevant Deliverable from passing any Test required under this Order Contract; or</w:t>
            </w:r>
          </w:p>
          <w:p w14:paraId="5AF61303" w14:textId="77777777" w:rsidR="00A3532F" w:rsidRDefault="00F837C0">
            <w:pPr>
              <w:numPr>
                <w:ilvl w:val="1"/>
                <w:numId w:val="5"/>
              </w:numPr>
              <w:pBdr>
                <w:top w:val="nil"/>
                <w:left w:val="nil"/>
                <w:bottom w:val="nil"/>
                <w:right w:val="nil"/>
                <w:between w:val="nil"/>
              </w:pBdr>
              <w:tabs>
                <w:tab w:val="left" w:pos="144"/>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lastRenderedPageBreak/>
              <w:t>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rsidR="00A3532F" w14:paraId="5AF61307" w14:textId="77777777">
        <w:tc>
          <w:tcPr>
            <w:tcW w:w="2790" w:type="dxa"/>
          </w:tcPr>
          <w:p w14:paraId="5AF61305"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lastRenderedPageBreak/>
              <w:t>"Emergency Maintenance"</w:t>
            </w:r>
          </w:p>
        </w:tc>
        <w:tc>
          <w:tcPr>
            <w:tcW w:w="5624" w:type="dxa"/>
            <w:gridSpan w:val="2"/>
          </w:tcPr>
          <w:p w14:paraId="5AF61306"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ad hoc and unplanned maintenance provided by the Supplier where either Party reasonably suspects that the ICT Environment or the Services, or any part of the ICT Environment or the Services, has or may have developed a fault;</w:t>
            </w:r>
          </w:p>
        </w:tc>
      </w:tr>
      <w:tr w:rsidR="00A3532F" w14:paraId="5AF6130A" w14:textId="77777777">
        <w:tc>
          <w:tcPr>
            <w:tcW w:w="2790" w:type="dxa"/>
          </w:tcPr>
          <w:p w14:paraId="5AF61308"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"ICT Environment"</w:t>
            </w:r>
          </w:p>
        </w:tc>
        <w:tc>
          <w:tcPr>
            <w:tcW w:w="5624" w:type="dxa"/>
            <w:gridSpan w:val="2"/>
          </w:tcPr>
          <w:p w14:paraId="5AF61309"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Buyer System and the Supplier System;</w:t>
            </w:r>
          </w:p>
        </w:tc>
      </w:tr>
      <w:tr w:rsidR="00A3532F" w14:paraId="5AF6130D" w14:textId="77777777">
        <w:tc>
          <w:tcPr>
            <w:tcW w:w="2790" w:type="dxa"/>
          </w:tcPr>
          <w:p w14:paraId="5AF6130B"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"Licensed Software"</w:t>
            </w:r>
          </w:p>
        </w:tc>
        <w:tc>
          <w:tcPr>
            <w:tcW w:w="5624" w:type="dxa"/>
            <w:gridSpan w:val="2"/>
          </w:tcPr>
          <w:p w14:paraId="5AF6130C"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all and any Software licensed by or through the Supplier, its Sub-Contractors or any third party to the Buyer for the purposes of or pursuant to this Order Contract, including any COTS Software;</w:t>
            </w:r>
          </w:p>
        </w:tc>
      </w:tr>
      <w:tr w:rsidR="00A3532F" w14:paraId="5AF61310" w14:textId="77777777">
        <w:tc>
          <w:tcPr>
            <w:tcW w:w="2790" w:type="dxa"/>
          </w:tcPr>
          <w:p w14:paraId="5AF6130E"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"Maintenance Schedule"</w:t>
            </w:r>
          </w:p>
        </w:tc>
        <w:tc>
          <w:tcPr>
            <w:tcW w:w="5624" w:type="dxa"/>
            <w:gridSpan w:val="2"/>
          </w:tcPr>
          <w:p w14:paraId="5AF6130F"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has the meaning given to it in paragraph 8 of this Schedule;</w:t>
            </w:r>
          </w:p>
        </w:tc>
      </w:tr>
      <w:tr w:rsidR="00A3532F" w14:paraId="5AF61313" w14:textId="77777777">
        <w:tc>
          <w:tcPr>
            <w:tcW w:w="2790" w:type="dxa"/>
          </w:tcPr>
          <w:p w14:paraId="5AF61311"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"Malicious Software"</w:t>
            </w:r>
          </w:p>
        </w:tc>
        <w:tc>
          <w:tcPr>
            <w:tcW w:w="5624" w:type="dxa"/>
            <w:gridSpan w:val="2"/>
          </w:tcPr>
          <w:p w14:paraId="5AF61312"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rsidR="00A3532F" w14:paraId="5AF61316" w14:textId="77777777">
        <w:tc>
          <w:tcPr>
            <w:tcW w:w="2790" w:type="dxa"/>
          </w:tcPr>
          <w:p w14:paraId="5AF61314"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"New Release"</w:t>
            </w:r>
          </w:p>
        </w:tc>
        <w:tc>
          <w:tcPr>
            <w:tcW w:w="5624" w:type="dxa"/>
            <w:gridSpan w:val="2"/>
          </w:tcPr>
          <w:p w14:paraId="5AF61315"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 item produced primarily to extend, alter or improve the Software and/or any Deliverable by providing additional functionality or performance enhancement (whether or not defects in the Software and/or Deliverable are also corrected) while still retaining the original designated purpose of that item;</w:t>
            </w:r>
          </w:p>
        </w:tc>
      </w:tr>
      <w:tr w:rsidR="00A3532F" w14:paraId="5AF61319" w14:textId="77777777">
        <w:tc>
          <w:tcPr>
            <w:tcW w:w="2790" w:type="dxa"/>
          </w:tcPr>
          <w:p w14:paraId="5AF61317"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"Open Source Software"</w:t>
            </w:r>
          </w:p>
        </w:tc>
        <w:tc>
          <w:tcPr>
            <w:tcW w:w="5624" w:type="dxa"/>
            <w:gridSpan w:val="2"/>
          </w:tcPr>
          <w:p w14:paraId="5AF61318"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computer software that has its source code made available subject to an open-source licence under which the owner of the copyright and other IPR in such software provides the rights to use, study, change and distribute the software to any and all </w:t>
            </w:r>
            <w:r>
              <w:rPr>
                <w:rFonts w:ascii="Arial" w:eastAsia="Arial" w:hAnsi="Arial" w:cs="Arial"/>
                <w:color w:val="000000"/>
                <w:sz w:val="24"/>
                <w:szCs w:val="24"/>
              </w:rPr>
              <w:lastRenderedPageBreak/>
              <w:t>persons and for any and all purposes free of charge;</w:t>
            </w:r>
          </w:p>
        </w:tc>
      </w:tr>
      <w:tr w:rsidR="00A3532F" w14:paraId="5AF6131F" w14:textId="77777777">
        <w:tc>
          <w:tcPr>
            <w:tcW w:w="2790" w:type="dxa"/>
          </w:tcPr>
          <w:p w14:paraId="5AF6131A"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lastRenderedPageBreak/>
              <w:t>"Operating Environment"</w:t>
            </w:r>
          </w:p>
        </w:tc>
        <w:tc>
          <w:tcPr>
            <w:tcW w:w="5624" w:type="dxa"/>
            <w:gridSpan w:val="2"/>
          </w:tcPr>
          <w:p w14:paraId="5AF6131B"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means the Buyer System and any premises (including the Buyer Premises, the Supplier’s premises or third party premises) from, to or at which:</w:t>
            </w:r>
          </w:p>
          <w:p w14:paraId="5AF6131C" w14:textId="77777777" w:rsidR="00A3532F" w:rsidRDefault="00F837C0">
            <w:pPr>
              <w:numPr>
                <w:ilvl w:val="1"/>
                <w:numId w:val="2"/>
              </w:numPr>
              <w:pBdr>
                <w:top w:val="nil"/>
                <w:left w:val="nil"/>
                <w:bottom w:val="nil"/>
                <w:right w:val="nil"/>
                <w:between w:val="nil"/>
              </w:pBdr>
              <w:tabs>
                <w:tab w:val="left" w:pos="342"/>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the Deliverables are (or are to be) provided; or </w:t>
            </w:r>
          </w:p>
          <w:p w14:paraId="5AF6131D" w14:textId="77777777" w:rsidR="00A3532F" w:rsidRDefault="00F837C0">
            <w:pPr>
              <w:numPr>
                <w:ilvl w:val="1"/>
                <w:numId w:val="2"/>
              </w:numPr>
              <w:pBdr>
                <w:top w:val="nil"/>
                <w:left w:val="nil"/>
                <w:bottom w:val="nil"/>
                <w:right w:val="nil"/>
                <w:between w:val="nil"/>
              </w:pBdr>
              <w:tabs>
                <w:tab w:val="left" w:pos="342"/>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manages, organises or otherwise directs the provision or the use of the Deliverables; or</w:t>
            </w:r>
          </w:p>
          <w:p w14:paraId="5AF6131E" w14:textId="77777777" w:rsidR="00A3532F" w:rsidRDefault="00F837C0">
            <w:pPr>
              <w:numPr>
                <w:ilvl w:val="1"/>
                <w:numId w:val="2"/>
              </w:numPr>
              <w:pBdr>
                <w:top w:val="nil"/>
                <w:left w:val="nil"/>
                <w:bottom w:val="nil"/>
                <w:right w:val="nil"/>
                <w:between w:val="nil"/>
              </w:pBdr>
              <w:tabs>
                <w:tab w:val="left" w:pos="342"/>
              </w:tabs>
              <w:spacing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where any part of the Supplier System is situated;</w:t>
            </w:r>
          </w:p>
        </w:tc>
      </w:tr>
      <w:tr w:rsidR="00A3532F" w14:paraId="5AF61322" w14:textId="77777777">
        <w:tc>
          <w:tcPr>
            <w:tcW w:w="2790" w:type="dxa"/>
          </w:tcPr>
          <w:p w14:paraId="5AF61320"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"Permitted Maintenance"</w:t>
            </w:r>
          </w:p>
        </w:tc>
        <w:tc>
          <w:tcPr>
            <w:tcW w:w="5624" w:type="dxa"/>
            <w:gridSpan w:val="2"/>
          </w:tcPr>
          <w:p w14:paraId="5AF61321"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has the meaning given to it in paragraph 8.2 of this Schedule;</w:t>
            </w:r>
          </w:p>
        </w:tc>
      </w:tr>
      <w:tr w:rsidR="00A3532F" w14:paraId="5AF61325" w14:textId="77777777">
        <w:tc>
          <w:tcPr>
            <w:tcW w:w="2790" w:type="dxa"/>
          </w:tcPr>
          <w:p w14:paraId="5AF61323"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"Quality Plans"</w:t>
            </w:r>
          </w:p>
        </w:tc>
        <w:tc>
          <w:tcPr>
            <w:tcW w:w="5624" w:type="dxa"/>
            <w:gridSpan w:val="2"/>
          </w:tcPr>
          <w:p w14:paraId="5AF61324"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has the meaning given to it in paragraph 6.1 of this Schedule;</w:t>
            </w:r>
          </w:p>
        </w:tc>
      </w:tr>
      <w:tr w:rsidR="00A3532F" w14:paraId="5AF61328" w14:textId="77777777">
        <w:tc>
          <w:tcPr>
            <w:tcW w:w="2790" w:type="dxa"/>
          </w:tcPr>
          <w:p w14:paraId="5AF61326"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"Sites"</w:t>
            </w:r>
          </w:p>
        </w:tc>
        <w:tc>
          <w:tcPr>
            <w:tcW w:w="5624" w:type="dxa"/>
            <w:gridSpan w:val="2"/>
          </w:tcPr>
          <w:p w14:paraId="5AF61327"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has the meaning given to it in Joint Schedule 1 (Definitions), and for the purposes of this Order Schedule shall also include any premises from, to or at which physical interface with the Buyer System takes place;</w:t>
            </w:r>
          </w:p>
        </w:tc>
      </w:tr>
      <w:tr w:rsidR="00A3532F" w14:paraId="5AF6132B" w14:textId="77777777">
        <w:tc>
          <w:tcPr>
            <w:tcW w:w="2790" w:type="dxa"/>
          </w:tcPr>
          <w:p w14:paraId="5AF61329"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"Software"</w:t>
            </w:r>
          </w:p>
        </w:tc>
        <w:tc>
          <w:tcPr>
            <w:tcW w:w="5624" w:type="dxa"/>
            <w:gridSpan w:val="2"/>
          </w:tcPr>
          <w:p w14:paraId="5AF6132A"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Specially Written Software, COTS Software and non-COTS Supplier and third party Software;</w:t>
            </w:r>
          </w:p>
        </w:tc>
      </w:tr>
      <w:tr w:rsidR="00A3532F" w14:paraId="5AF6132E" w14:textId="77777777">
        <w:tc>
          <w:tcPr>
            <w:tcW w:w="2790" w:type="dxa"/>
          </w:tcPr>
          <w:p w14:paraId="5AF6132C"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"Software Supporting Materials"</w:t>
            </w:r>
          </w:p>
        </w:tc>
        <w:tc>
          <w:tcPr>
            <w:tcW w:w="5624" w:type="dxa"/>
            <w:gridSpan w:val="2"/>
          </w:tcPr>
          <w:p w14:paraId="5AF6132D"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has the meaning given to it in paragraph 9.1 of this Schedule;</w:t>
            </w:r>
          </w:p>
        </w:tc>
      </w:tr>
      <w:tr w:rsidR="00A3532F" w14:paraId="5AF61331" w14:textId="77777777">
        <w:tc>
          <w:tcPr>
            <w:tcW w:w="2790" w:type="dxa"/>
          </w:tcPr>
          <w:p w14:paraId="5AF6132F"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"Source Code"</w:t>
            </w:r>
          </w:p>
        </w:tc>
        <w:tc>
          <w:tcPr>
            <w:tcW w:w="5624" w:type="dxa"/>
            <w:gridSpan w:val="2"/>
          </w:tcPr>
          <w:p w14:paraId="5AF61330"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rsidR="00A3532F" w14:paraId="5AF61334" w14:textId="77777777">
        <w:tc>
          <w:tcPr>
            <w:tcW w:w="2790" w:type="dxa"/>
          </w:tcPr>
          <w:p w14:paraId="5AF61332"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"Specially Written Software"</w:t>
            </w:r>
          </w:p>
        </w:tc>
        <w:tc>
          <w:tcPr>
            <w:tcW w:w="5624" w:type="dxa"/>
            <w:gridSpan w:val="2"/>
          </w:tcPr>
          <w:p w14:paraId="5AF61333"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any software (including database software, linking instructions, test scripts, compilation instructions and test instructions) created by the Supplier (or by a Sub-Contractor or other third party on behalf of the Supplier) specifically for the purposes of this Contract, including any modifications or enhancements to COTS Software. For the </w:t>
            </w:r>
            <w:r>
              <w:rPr>
                <w:rFonts w:ascii="Arial" w:eastAsia="Arial" w:hAnsi="Arial" w:cs="Arial"/>
                <w:color w:val="000000"/>
                <w:sz w:val="24"/>
                <w:szCs w:val="24"/>
              </w:rPr>
              <w:lastRenderedPageBreak/>
              <w:t>avoidance of doubt Specially Written Software does not constitute New IPR;</w:t>
            </w:r>
          </w:p>
        </w:tc>
      </w:tr>
      <w:tr w:rsidR="00A3532F" w14:paraId="5AF61337" w14:textId="77777777">
        <w:tc>
          <w:tcPr>
            <w:tcW w:w="2790" w:type="dxa"/>
          </w:tcPr>
          <w:p w14:paraId="5AF61335"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lastRenderedPageBreak/>
              <w:t>"Supplier System"</w:t>
            </w:r>
          </w:p>
        </w:tc>
        <w:tc>
          <w:tcPr>
            <w:tcW w:w="5624" w:type="dxa"/>
            <w:gridSpan w:val="2"/>
          </w:tcPr>
          <w:p w14:paraId="5AF61336" w14:textId="77777777" w:rsidR="00A3532F" w:rsidRDefault="00F837C0">
            <w:p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information and communications technology system used by the Supplier in supplying the Deliverables, including the COTS Software, the Supplier Equipment, configuration and management utilities, calibration and testing tools and related cabling (but excluding the Buyer System).</w:t>
            </w:r>
          </w:p>
        </w:tc>
      </w:tr>
    </w:tbl>
    <w:p w14:paraId="5AF61338" w14:textId="77777777" w:rsidR="00A3532F" w:rsidRDefault="00F837C0">
      <w:pPr>
        <w:keepNext/>
        <w:keepLines/>
        <w:numPr>
          <w:ilvl w:val="0"/>
          <w:numId w:val="1"/>
        </w:numPr>
        <w:pBdr>
          <w:top w:val="nil"/>
          <w:left w:val="nil"/>
          <w:bottom w:val="nil"/>
          <w:right w:val="nil"/>
          <w:between w:val="nil"/>
        </w:pBdr>
        <w:tabs>
          <w:tab w:val="left" w:pos="142"/>
        </w:tabs>
        <w:spacing w:before="120" w:line="240" w:lineRule="auto"/>
        <w:ind w:left="0" w:hanging="2"/>
        <w:jc w:val="left"/>
        <w:rPr>
          <w:rFonts w:ascii="Arial" w:eastAsia="Arial" w:hAnsi="Arial" w:cs="Arial"/>
          <w:b/>
          <w:smallCaps/>
          <w:color w:val="000000"/>
          <w:sz w:val="24"/>
          <w:szCs w:val="24"/>
        </w:rPr>
      </w:pPr>
      <w:r>
        <w:rPr>
          <w:rFonts w:ascii="Arial" w:eastAsia="Arial" w:hAnsi="Arial" w:cs="Arial"/>
          <w:b/>
          <w:smallCaps/>
          <w:color w:val="000000"/>
          <w:sz w:val="24"/>
          <w:szCs w:val="24"/>
        </w:rPr>
        <w:t>W</w:t>
      </w:r>
      <w:r>
        <w:rPr>
          <w:rFonts w:ascii="Arial Bold" w:eastAsia="Arial Bold" w:hAnsi="Arial Bold" w:cs="Arial Bold"/>
          <w:b/>
          <w:color w:val="000000"/>
          <w:sz w:val="24"/>
          <w:szCs w:val="24"/>
        </w:rPr>
        <w:t>hen this Schedule should be used</w:t>
      </w:r>
    </w:p>
    <w:p w14:paraId="5AF61339" w14:textId="77777777" w:rsidR="00A3532F" w:rsidRDefault="00F837C0">
      <w:pPr>
        <w:keepNext/>
        <w:keepLines/>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This Schedule is designed to provide additional provisions necessary to facilitate the provision of ICT Services which are part of the Deliverables.</w:t>
      </w:r>
    </w:p>
    <w:p w14:paraId="5AF6133A" w14:textId="77777777" w:rsidR="00A3532F" w:rsidRDefault="00F837C0">
      <w:pPr>
        <w:numPr>
          <w:ilvl w:val="0"/>
          <w:numId w:val="1"/>
        </w:numPr>
        <w:pBdr>
          <w:top w:val="nil"/>
          <w:left w:val="nil"/>
          <w:bottom w:val="nil"/>
          <w:right w:val="nil"/>
          <w:between w:val="nil"/>
        </w:pBdr>
        <w:tabs>
          <w:tab w:val="left" w:pos="142"/>
        </w:tabs>
        <w:spacing w:before="120" w:line="240" w:lineRule="auto"/>
        <w:ind w:left="0" w:hanging="2"/>
        <w:jc w:val="left"/>
        <w:rPr>
          <w:rFonts w:ascii="Arial Bold" w:eastAsia="Arial Bold" w:hAnsi="Arial Bold" w:cs="Arial Bold"/>
          <w:color w:val="000000"/>
          <w:sz w:val="24"/>
          <w:szCs w:val="24"/>
        </w:rPr>
      </w:pPr>
      <w:r>
        <w:rPr>
          <w:rFonts w:ascii="Arial Bold" w:eastAsia="Arial Bold" w:hAnsi="Arial Bold" w:cs="Arial Bold"/>
          <w:b/>
          <w:color w:val="000000"/>
          <w:sz w:val="24"/>
          <w:szCs w:val="24"/>
        </w:rPr>
        <w:t xml:space="preserve">Buyer due diligence requirements </w:t>
      </w:r>
    </w:p>
    <w:p w14:paraId="5AF6133B" w14:textId="77777777" w:rsidR="00A3532F" w:rsidRDefault="00F837C0">
      <w:pPr>
        <w:numPr>
          <w:ilvl w:val="1"/>
          <w:numId w:val="1"/>
        </w:numPr>
        <w:pBdr>
          <w:top w:val="nil"/>
          <w:left w:val="nil"/>
          <w:bottom w:val="nil"/>
          <w:right w:val="nil"/>
          <w:between w:val="nil"/>
        </w:pBdr>
        <w:tabs>
          <w:tab w:val="left" w:pos="142"/>
        </w:tabs>
        <w:spacing w:before="120" w:line="240" w:lineRule="auto"/>
        <w:ind w:left="0" w:hanging="2"/>
        <w:jc w:val="left"/>
        <w:rPr>
          <w:rFonts w:ascii="Arial" w:eastAsia="Arial" w:hAnsi="Arial" w:cs="Arial"/>
          <w:color w:val="000000"/>
          <w:sz w:val="24"/>
          <w:szCs w:val="24"/>
        </w:rPr>
      </w:pPr>
      <w:bookmarkStart w:id="1" w:name="_heading=h.30j0zll" w:colFirst="0" w:colLast="0"/>
      <w:bookmarkEnd w:id="1"/>
      <w:r>
        <w:rPr>
          <w:rFonts w:ascii="Arial" w:eastAsia="Arial" w:hAnsi="Arial" w:cs="Arial"/>
          <w:color w:val="000000"/>
          <w:sz w:val="24"/>
          <w:szCs w:val="24"/>
        </w:rPr>
        <w:t>The Supplier shall satisfy itself of all relevant details, including but not limited to, details relating to the following;</w:t>
      </w:r>
    </w:p>
    <w:p w14:paraId="5AF6133C"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suitability of the existing and (to the extent that it is defined or reasonably foreseeable at the Start Date) future Operating Environment; </w:t>
      </w:r>
    </w:p>
    <w:p w14:paraId="5AF6133D"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operating processes and procedures and the working methods of the Buyer; </w:t>
      </w:r>
    </w:p>
    <w:p w14:paraId="5AF6133E"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ownership, functionality, capacity, condition and suitability for use in the provision of the Deliverables of the Buyer Assets; and</w:t>
      </w:r>
    </w:p>
    <w:p w14:paraId="5AF6133F"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existing contracts (including any licences, support, maintenance and other contracts relating to the Operating Environment) referred to in the Due Diligence Information which may be novated to, assigned to or managed by the Supplier under this Contract and/or which the Supplier will require the benefit of for the provision of the Deliverables.</w:t>
      </w:r>
    </w:p>
    <w:p w14:paraId="5AF61340" w14:textId="77777777" w:rsidR="00A3532F" w:rsidRDefault="00F837C0">
      <w:pPr>
        <w:numPr>
          <w:ilvl w:val="1"/>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confirms that it has advised the Buyer in writing of:</w:t>
      </w:r>
    </w:p>
    <w:p w14:paraId="5AF61341"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each aspect, if any, of the Operating Environment that is not suitable for the provision of the ICT Services;</w:t>
      </w:r>
    </w:p>
    <w:p w14:paraId="5AF61342"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actions needed to remedy each such unsuitable aspect; and</w:t>
      </w:r>
    </w:p>
    <w:p w14:paraId="5AF61343"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 timetable for and the costs of those actions.</w:t>
      </w:r>
    </w:p>
    <w:p w14:paraId="5AF61344" w14:textId="77777777" w:rsidR="00A3532F" w:rsidRDefault="00A3532F">
      <w:p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p>
    <w:p w14:paraId="5AF61345" w14:textId="77777777" w:rsidR="00A3532F" w:rsidRDefault="00F837C0">
      <w:pPr>
        <w:numPr>
          <w:ilvl w:val="0"/>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bookmarkStart w:id="2" w:name="_heading=h.1fob9te" w:colFirst="0" w:colLast="0"/>
      <w:bookmarkEnd w:id="2"/>
      <w:r>
        <w:rPr>
          <w:rFonts w:ascii="Arial" w:eastAsia="Arial" w:hAnsi="Arial" w:cs="Arial"/>
          <w:b/>
          <w:color w:val="000000"/>
          <w:sz w:val="24"/>
          <w:szCs w:val="24"/>
        </w:rPr>
        <w:t>Licensed software warranty</w:t>
      </w:r>
    </w:p>
    <w:p w14:paraId="5AF61346"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represents and warrants that:</w:t>
      </w:r>
    </w:p>
    <w:p w14:paraId="5AF61347" w14:textId="77777777" w:rsidR="00A3532F" w:rsidRDefault="00F837C0">
      <w:pPr>
        <w:numPr>
          <w:ilvl w:val="2"/>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it has and shall continue to have all necessary rights in and to the Licensed Software made available by the Supplier (and/or any Sub-Contractor) to the Buyer which are necessary for the performance of the Supplier’s obligations under this Contract including the receipt of the Deliverables by the Buyer;</w:t>
      </w:r>
    </w:p>
    <w:p w14:paraId="5AF61348"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lastRenderedPageBreak/>
        <w:t>all components of the Specially Written Software shall:</w:t>
      </w:r>
    </w:p>
    <w:p w14:paraId="5AF61349"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be free from material design and programming errors;</w:t>
      </w:r>
    </w:p>
    <w:p w14:paraId="5AF6134A"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perform in all material respects in accordance with the relevant specifications contained in Order Schedule 14 (Service Levels) and Documentation; and</w:t>
      </w:r>
    </w:p>
    <w:p w14:paraId="5AF6134B" w14:textId="77777777" w:rsidR="00A3532F" w:rsidRDefault="00F837C0">
      <w:pPr>
        <w:numPr>
          <w:ilvl w:val="3"/>
          <w:numId w:val="1"/>
        </w:numPr>
        <w:pBdr>
          <w:top w:val="nil"/>
          <w:left w:val="nil"/>
          <w:bottom w:val="nil"/>
          <w:right w:val="nil"/>
          <w:between w:val="nil"/>
        </w:pBdr>
        <w:tabs>
          <w:tab w:val="left" w:pos="851"/>
        </w:tabs>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not infringe any IPR.</w:t>
      </w:r>
    </w:p>
    <w:p w14:paraId="5AF6134C" w14:textId="77777777" w:rsidR="00A3532F" w:rsidRDefault="00F837C0">
      <w:pPr>
        <w:numPr>
          <w:ilvl w:val="0"/>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r>
        <w:rPr>
          <w:rFonts w:ascii="Arial" w:eastAsia="Arial" w:hAnsi="Arial" w:cs="Arial"/>
          <w:b/>
          <w:color w:val="000000"/>
          <w:sz w:val="24"/>
          <w:szCs w:val="24"/>
        </w:rPr>
        <w:t>Provision of ICT Services</w:t>
      </w:r>
    </w:p>
    <w:p w14:paraId="5AF6134D" w14:textId="77777777" w:rsidR="00A3532F" w:rsidRDefault="00F837C0">
      <w:pPr>
        <w:numPr>
          <w:ilvl w:val="1"/>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w:t>
      </w:r>
    </w:p>
    <w:p w14:paraId="5AF6134E"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ensure that the release of any new COTS Software in which the Supplier owns the IPR, or upgrade to any Software in which the Supplier owns the IPR complies with the interface requirements of the Buyer and (except in relation to new Software or upgrades which are released to address Malicious Software) shall notify the Buyer three (3) Months before the release of any new COTS Software or Upgrade;</w:t>
      </w:r>
    </w:p>
    <w:p w14:paraId="5AF6134F"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ensure that all Software including upgrades, updates and New Releases used by or on behalf of the Supplier are currently supported versions of that Software and perform in all material respects in accordance with the relevant specification;</w:t>
      </w:r>
    </w:p>
    <w:p w14:paraId="5AF61350"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ensure that the Supplier System will be free of all encumbrances;</w:t>
      </w:r>
    </w:p>
    <w:p w14:paraId="5AF61351"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ensure that the Deliverables are fully compatible with any Buyer Software, Buyer System, or otherwise used by the Supplier in connection with this Contract;</w:t>
      </w:r>
    </w:p>
    <w:p w14:paraId="5AF61352"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minimise any disruption to the Services and the ICT Environment  and/or the Buyer's operations when providing the Deliverables;</w:t>
      </w:r>
    </w:p>
    <w:p w14:paraId="5AF61353" w14:textId="77777777" w:rsidR="00A3532F" w:rsidRDefault="00F837C0">
      <w:pPr>
        <w:keepNext/>
        <w:numPr>
          <w:ilvl w:val="0"/>
          <w:numId w:val="1"/>
        </w:numPr>
        <w:pBdr>
          <w:top w:val="nil"/>
          <w:left w:val="nil"/>
          <w:bottom w:val="nil"/>
          <w:right w:val="nil"/>
          <w:between w:val="nil"/>
        </w:pBdr>
        <w:tabs>
          <w:tab w:val="left" w:pos="1134"/>
        </w:tabs>
        <w:spacing w:before="120" w:after="120" w:line="240" w:lineRule="auto"/>
        <w:ind w:left="0" w:hanging="2"/>
        <w:jc w:val="left"/>
        <w:rPr>
          <w:rFonts w:ascii="Arial Bold" w:eastAsia="Arial Bold" w:hAnsi="Arial Bold" w:cs="Arial Bold"/>
          <w:color w:val="000000"/>
          <w:sz w:val="24"/>
          <w:szCs w:val="24"/>
        </w:rPr>
      </w:pPr>
      <w:bookmarkStart w:id="3" w:name="_heading=h.3znysh7" w:colFirst="0" w:colLast="0"/>
      <w:bookmarkEnd w:id="3"/>
      <w:r>
        <w:rPr>
          <w:rFonts w:ascii="Arial Bold" w:eastAsia="Arial Bold" w:hAnsi="Arial Bold" w:cs="Arial Bold"/>
          <w:b/>
          <w:color w:val="000000"/>
          <w:sz w:val="24"/>
          <w:szCs w:val="24"/>
        </w:rPr>
        <w:t>Standards and Quality Requirements</w:t>
      </w:r>
    </w:p>
    <w:p w14:paraId="5AF61354"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develop, in the timescales specified in the Order Form, quality plans that ensure that all aspects of the Deliverables are the subject of quality management systems and are consistent with BS EN ISO 9001 or any equivalent standard which is generally recognised as having replaced it ("</w:t>
      </w:r>
      <w:r>
        <w:rPr>
          <w:rFonts w:ascii="Arial" w:eastAsia="Arial" w:hAnsi="Arial" w:cs="Arial"/>
          <w:b/>
          <w:color w:val="000000"/>
          <w:sz w:val="24"/>
          <w:szCs w:val="24"/>
        </w:rPr>
        <w:t>Quality Plans</w:t>
      </w:r>
      <w:r>
        <w:rPr>
          <w:rFonts w:ascii="Arial" w:eastAsia="Arial" w:hAnsi="Arial" w:cs="Arial"/>
          <w:color w:val="000000"/>
          <w:sz w:val="24"/>
          <w:szCs w:val="24"/>
        </w:rPr>
        <w:t>")</w:t>
      </w:r>
      <w:r>
        <w:rPr>
          <w:rFonts w:ascii="Arial" w:eastAsia="Arial" w:hAnsi="Arial" w:cs="Arial"/>
          <w:b/>
          <w:color w:val="000000"/>
          <w:sz w:val="24"/>
          <w:szCs w:val="24"/>
        </w:rPr>
        <w:t>.</w:t>
      </w:r>
    </w:p>
    <w:p w14:paraId="5AF61355"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seek Approval from the Buyer (not be unreasonably withheld or delayed) of the Quality Plans before implementing them. Approval shall not act as an endorsement of the Quality Plans and shall not relieve the Supplier of its responsibility for ensuring that the Deliverables are provided to the standard required by this Contract.</w:t>
      </w:r>
    </w:p>
    <w:p w14:paraId="5AF61356"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Following the approval of the Quality Plans, the Supplier shall provide all Deliverables in accordance with the Quality Plans.</w:t>
      </w:r>
    </w:p>
    <w:p w14:paraId="5AF61357"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ensure that the Supplier Personnel shall at all times during the Order Contract Period:</w:t>
      </w:r>
    </w:p>
    <w:p w14:paraId="5AF61358"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be appropriately experienced, qualified and trained to supply the Deliverables in accordance with this Contract;</w:t>
      </w:r>
    </w:p>
    <w:p w14:paraId="5AF61359"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lastRenderedPageBreak/>
        <w:t>apply all due skill, care, diligence in faithfully performing those duties and exercising such powers as necessary in connection with the provision of the Deliverables; and</w:t>
      </w:r>
    </w:p>
    <w:p w14:paraId="5AF6135A" w14:textId="77777777" w:rsidR="00A3532F" w:rsidRDefault="00F837C0">
      <w:pPr>
        <w:numPr>
          <w:ilvl w:val="2"/>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obey all lawful instructions and reasonable directions of the Buyer (including, if </w:t>
      </w:r>
      <w:proofErr w:type="gramStart"/>
      <w:r>
        <w:rPr>
          <w:rFonts w:ascii="Arial" w:eastAsia="Arial" w:hAnsi="Arial" w:cs="Arial"/>
          <w:color w:val="000000"/>
          <w:sz w:val="24"/>
          <w:szCs w:val="24"/>
        </w:rPr>
        <w:t>so</w:t>
      </w:r>
      <w:proofErr w:type="gramEnd"/>
      <w:r>
        <w:rPr>
          <w:rFonts w:ascii="Arial" w:eastAsia="Arial" w:hAnsi="Arial" w:cs="Arial"/>
          <w:color w:val="000000"/>
          <w:sz w:val="24"/>
          <w:szCs w:val="24"/>
        </w:rPr>
        <w:t xml:space="preserve"> required by the Buyer, the ICT Policy) and provide the Deliverables to the reasonable satisfaction of the Buyer.</w:t>
      </w:r>
    </w:p>
    <w:p w14:paraId="5AF6135B" w14:textId="77777777" w:rsidR="00A3532F" w:rsidRDefault="00F837C0">
      <w:pPr>
        <w:numPr>
          <w:ilvl w:val="0"/>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ICT Audit</w:t>
      </w:r>
    </w:p>
    <w:p w14:paraId="5AF6135C" w14:textId="77777777" w:rsidR="00A3532F" w:rsidRDefault="00F837C0">
      <w:pPr>
        <w:numPr>
          <w:ilvl w:val="1"/>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allow any auditor access to the Supplier premises to:</w:t>
      </w:r>
    </w:p>
    <w:p w14:paraId="5AF6135D"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inspect the ICT Environment and the wider service delivery environment (or any part of them);</w:t>
      </w:r>
    </w:p>
    <w:p w14:paraId="5AF6135E"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review any records created during the design and development of the Supplier System and pre-operational environment such as information relating to Testing;</w:t>
      </w:r>
    </w:p>
    <w:p w14:paraId="5AF6135F" w14:textId="77777777" w:rsidR="00A3532F" w:rsidRDefault="00F837C0">
      <w:pPr>
        <w:numPr>
          <w:ilvl w:val="2"/>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review the Supplier’s quality management systems including all relevant Quality Plans.</w:t>
      </w:r>
    </w:p>
    <w:p w14:paraId="5AF61360" w14:textId="77777777" w:rsidR="00A3532F" w:rsidRDefault="00F837C0">
      <w:pPr>
        <w:keepNext/>
        <w:numPr>
          <w:ilvl w:val="0"/>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Maintenance of the ICT Environment</w:t>
      </w:r>
    </w:p>
    <w:p w14:paraId="5AF61361" w14:textId="77777777" w:rsidR="00A3532F" w:rsidRDefault="00F837C0">
      <w:pPr>
        <w:numPr>
          <w:ilvl w:val="1"/>
          <w:numId w:val="1"/>
        </w:numPr>
        <w:pBdr>
          <w:top w:val="nil"/>
          <w:left w:val="nil"/>
          <w:bottom w:val="nil"/>
          <w:right w:val="nil"/>
          <w:between w:val="nil"/>
        </w:pBdr>
        <w:tabs>
          <w:tab w:val="left" w:pos="1985"/>
        </w:tabs>
        <w:spacing w:before="120" w:after="120" w:line="240" w:lineRule="auto"/>
        <w:ind w:left="0" w:hanging="2"/>
        <w:jc w:val="left"/>
        <w:rPr>
          <w:rFonts w:ascii="Arial" w:eastAsia="Arial" w:hAnsi="Arial" w:cs="Arial"/>
          <w:color w:val="000000"/>
          <w:sz w:val="24"/>
          <w:szCs w:val="24"/>
        </w:rPr>
      </w:pPr>
      <w:bookmarkStart w:id="4" w:name="_heading=h.2et92p0" w:colFirst="0" w:colLast="0"/>
      <w:bookmarkEnd w:id="4"/>
      <w:r>
        <w:rPr>
          <w:rFonts w:ascii="Arial" w:eastAsia="Arial" w:hAnsi="Arial" w:cs="Arial"/>
          <w:color w:val="000000"/>
          <w:sz w:val="24"/>
          <w:szCs w:val="24"/>
        </w:rPr>
        <w:t>If specified by the Buyer in the Order Form, the Supplier shall create and maintain a rolling schedule of planned maintenance to the ICT Environment ("</w:t>
      </w:r>
      <w:r>
        <w:rPr>
          <w:rFonts w:ascii="Arial" w:eastAsia="Arial" w:hAnsi="Arial" w:cs="Arial"/>
          <w:b/>
          <w:color w:val="000000"/>
          <w:sz w:val="24"/>
          <w:szCs w:val="24"/>
        </w:rPr>
        <w:t>Maintenance Schedule</w:t>
      </w:r>
      <w:r>
        <w:rPr>
          <w:rFonts w:ascii="Arial" w:eastAsia="Arial" w:hAnsi="Arial" w:cs="Arial"/>
          <w:color w:val="000000"/>
          <w:sz w:val="24"/>
          <w:szCs w:val="24"/>
        </w:rPr>
        <w:t>") and make it available to the Buyer for Approval in accordance with the timetable and instructions specified by the Buyer.</w:t>
      </w:r>
    </w:p>
    <w:p w14:paraId="5AF61362" w14:textId="77777777" w:rsidR="00A3532F" w:rsidRDefault="00F837C0">
      <w:pPr>
        <w:numPr>
          <w:ilvl w:val="1"/>
          <w:numId w:val="1"/>
        </w:numPr>
        <w:pBdr>
          <w:top w:val="nil"/>
          <w:left w:val="nil"/>
          <w:bottom w:val="nil"/>
          <w:right w:val="nil"/>
          <w:between w:val="nil"/>
        </w:pBdr>
        <w:tabs>
          <w:tab w:val="left" w:pos="1985"/>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Once the Maintenance Schedule has been Approved, the Supplier shall only undertake such planned maintenance (which shall be known as "</w:t>
      </w:r>
      <w:r>
        <w:rPr>
          <w:rFonts w:ascii="Arial" w:eastAsia="Arial" w:hAnsi="Arial" w:cs="Arial"/>
          <w:b/>
          <w:color w:val="000000"/>
          <w:sz w:val="24"/>
          <w:szCs w:val="24"/>
        </w:rPr>
        <w:t>Permitted Maintenance</w:t>
      </w:r>
      <w:r>
        <w:rPr>
          <w:rFonts w:ascii="Arial" w:eastAsia="Arial" w:hAnsi="Arial" w:cs="Arial"/>
          <w:color w:val="000000"/>
          <w:sz w:val="24"/>
          <w:szCs w:val="24"/>
        </w:rPr>
        <w:t>") in accordance with the Maintenance Schedule.</w:t>
      </w:r>
    </w:p>
    <w:p w14:paraId="5AF61363" w14:textId="77777777" w:rsidR="00A3532F" w:rsidRDefault="00F837C0">
      <w:pPr>
        <w:numPr>
          <w:ilvl w:val="1"/>
          <w:numId w:val="1"/>
        </w:numPr>
        <w:pBdr>
          <w:top w:val="nil"/>
          <w:left w:val="nil"/>
          <w:bottom w:val="nil"/>
          <w:right w:val="nil"/>
          <w:between w:val="nil"/>
        </w:pBdr>
        <w:tabs>
          <w:tab w:val="left" w:pos="1985"/>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give as much notice as is reasonably practicable to the Buyer prior to carrying out any Emergency Maintenance.</w:t>
      </w:r>
    </w:p>
    <w:p w14:paraId="5AF61364" w14:textId="77777777" w:rsidR="00A3532F" w:rsidRDefault="00F837C0">
      <w:pPr>
        <w:numPr>
          <w:ilvl w:val="1"/>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carry out any necessary maintenance (whether Permitted Maintenance or Emergency Maintenance) where it reasonably suspects that the ICT Environment and/or the Services or any part thereof has or may have developed a fault. Any such maintenance shall be carried out in such a manner and at such times so as to avoid (or where this is not possible so as to minimise) disruption to the ICT Environment and the provision of the Deliverables.</w:t>
      </w:r>
    </w:p>
    <w:p w14:paraId="5AF61365" w14:textId="77777777" w:rsidR="00A3532F" w:rsidRDefault="00F837C0">
      <w:pPr>
        <w:keepNext/>
        <w:numPr>
          <w:ilvl w:val="0"/>
          <w:numId w:val="1"/>
        </w:numPr>
        <w:pBdr>
          <w:top w:val="nil"/>
          <w:left w:val="nil"/>
          <w:bottom w:val="nil"/>
          <w:right w:val="nil"/>
          <w:between w:val="nil"/>
        </w:pBdr>
        <w:tabs>
          <w:tab w:val="left" w:pos="1134"/>
        </w:tabs>
        <w:spacing w:before="120" w:after="120" w:line="240" w:lineRule="auto"/>
        <w:ind w:left="0" w:hanging="2"/>
        <w:jc w:val="left"/>
        <w:rPr>
          <w:rFonts w:ascii="Arial Bold" w:eastAsia="Arial Bold" w:hAnsi="Arial Bold" w:cs="Arial Bold"/>
          <w:color w:val="000000"/>
          <w:sz w:val="24"/>
          <w:szCs w:val="24"/>
        </w:rPr>
      </w:pPr>
      <w:bookmarkStart w:id="5" w:name="_heading=h.tyjcwt" w:colFirst="0" w:colLast="0"/>
      <w:bookmarkEnd w:id="5"/>
      <w:r>
        <w:rPr>
          <w:rFonts w:ascii="Arial Bold" w:eastAsia="Arial Bold" w:hAnsi="Arial Bold" w:cs="Arial Bold"/>
          <w:b/>
          <w:color w:val="000000"/>
          <w:sz w:val="24"/>
          <w:szCs w:val="24"/>
        </w:rPr>
        <w:t>Intellectual Property Rights in ICT</w:t>
      </w:r>
    </w:p>
    <w:p w14:paraId="5AF61366"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r>
        <w:rPr>
          <w:rFonts w:ascii="Arial" w:eastAsia="Arial" w:hAnsi="Arial" w:cs="Arial"/>
          <w:b/>
          <w:color w:val="000000"/>
          <w:sz w:val="24"/>
          <w:szCs w:val="24"/>
        </w:rPr>
        <w:t xml:space="preserve">Assignments granted by the Supplier: Specially Written Software </w:t>
      </w:r>
    </w:p>
    <w:p w14:paraId="5AF61367"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6" w:name="_heading=h.3dy6vkm" w:colFirst="0" w:colLast="0"/>
      <w:bookmarkEnd w:id="6"/>
      <w:r>
        <w:rPr>
          <w:rFonts w:ascii="Arial" w:eastAsia="Arial" w:hAnsi="Arial" w:cs="Arial"/>
          <w:color w:val="000000"/>
          <w:sz w:val="24"/>
          <w:szCs w:val="24"/>
        </w:rPr>
        <w:t>The Supplier assigns (by present assignment of future rights to take effect immediately on it coming into existence) to the Buyer with full guarantee (or shall procure assignment to the Buyer), title to and all rights and interest in the Specially Written Software together with and including:</w:t>
      </w:r>
    </w:p>
    <w:p w14:paraId="5AF61368"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bookmarkStart w:id="7" w:name="_heading=h.1t3h5sf" w:colFirst="0" w:colLast="0"/>
      <w:bookmarkEnd w:id="7"/>
      <w:r>
        <w:rPr>
          <w:rFonts w:ascii="Arial" w:eastAsia="Arial" w:hAnsi="Arial" w:cs="Arial"/>
          <w:color w:val="000000"/>
          <w:sz w:val="24"/>
          <w:szCs w:val="24"/>
        </w:rPr>
        <w:t>the Documentation, Source Code and the Object Code of the Specially Written Software; and</w:t>
      </w:r>
    </w:p>
    <w:p w14:paraId="5AF61369"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lastRenderedPageBreak/>
        <w:t>all build instructions, test instructions, test scripts, test data, operating instructions and other documents and tools necessary for maintaining and supporting the Specially Written Software and the New IPR (together the "</w:t>
      </w:r>
      <w:r>
        <w:rPr>
          <w:rFonts w:ascii="Arial" w:eastAsia="Arial" w:hAnsi="Arial" w:cs="Arial"/>
          <w:b/>
          <w:color w:val="000000"/>
          <w:sz w:val="24"/>
          <w:szCs w:val="24"/>
        </w:rPr>
        <w:t>Software Supporting Materials</w:t>
      </w:r>
      <w:r>
        <w:rPr>
          <w:rFonts w:ascii="Arial" w:eastAsia="Arial" w:hAnsi="Arial" w:cs="Arial"/>
          <w:color w:val="000000"/>
          <w:sz w:val="24"/>
          <w:szCs w:val="24"/>
        </w:rPr>
        <w:t>").</w:t>
      </w:r>
    </w:p>
    <w:p w14:paraId="5AF6136A"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w:t>
      </w:r>
    </w:p>
    <w:p w14:paraId="5AF6136B"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bookmarkStart w:id="8" w:name="_heading=h.4d34og8" w:colFirst="0" w:colLast="0"/>
      <w:bookmarkEnd w:id="8"/>
      <w:r>
        <w:rPr>
          <w:rFonts w:ascii="Arial" w:eastAsia="Arial" w:hAnsi="Arial" w:cs="Arial"/>
          <w:color w:val="000000"/>
          <w:sz w:val="24"/>
          <w:szCs w:val="24"/>
        </w:rPr>
        <w:t xml:space="preserve">inform the Buyer of all Specially Written Software or New IPRs that are a modification, customisation, configuration or enhancement to any COTS Software; </w:t>
      </w:r>
    </w:p>
    <w:p w14:paraId="5AF6136C"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deliver to the Buyer the Specially Written Software and any computer program elements of the New IPRs in both Source Code and Object Code forms together with relevant Documentation and all related Software Supporting Materials within seven days of completion or, if a relevant Milestone has been identified in an Implementation Plan, Achievement of that Milestone and shall provide updates of them promptly following each new release of the Specially Written Software, in each case on media that is reasonably acceptable to the Buyer and the Buyer shall become the owner of such media upon receipt; and</w:t>
      </w:r>
    </w:p>
    <w:p w14:paraId="5AF6136D"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without prejudice to paragraph 9.1.2.2, provide full details to the Buyer of any of the Supplier’s Existing IPRs or Third Party IPRs which are embedded or which are an integral part of the Specially Written Software or New IPR and the Supplier hereby grants to the Buyer and shall procure that any relevant third party licensor shall grant to the Buyer a perpetual, irrevocable, non-exclusive, assignable, royalty-free licence to use, sub-license and/or commercially exploit such Supplier’s Existing IPRs and Third Party IPRs to the extent that it is necessary to enable the Buyer to obtain the full benefits of ownership of the Specially Written Software and New IPRs.</w:t>
      </w:r>
    </w:p>
    <w:p w14:paraId="5AF6136E"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9" w:name="_heading=h.2s8eyo1" w:colFirst="0" w:colLast="0"/>
      <w:bookmarkEnd w:id="9"/>
      <w:r>
        <w:rPr>
          <w:rFonts w:ascii="Arial" w:eastAsia="Arial" w:hAnsi="Arial" w:cs="Arial"/>
          <w:color w:val="000000"/>
          <w:sz w:val="24"/>
          <w:szCs w:val="24"/>
        </w:rPr>
        <w:t>The Supplier shall promptly execute all such assignments as are required to ensure that any rights in the Specially Written Software and New IPRs are properly transferred to the Buyer.</w:t>
      </w:r>
    </w:p>
    <w:p w14:paraId="5AF6136F"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r>
        <w:rPr>
          <w:rFonts w:ascii="Arial" w:eastAsia="Arial" w:hAnsi="Arial" w:cs="Arial"/>
          <w:b/>
          <w:color w:val="000000"/>
          <w:sz w:val="24"/>
          <w:szCs w:val="24"/>
        </w:rPr>
        <w:t>Licences for non-COTS IPR from the Supplier and third parties to the Buyer</w:t>
      </w:r>
    </w:p>
    <w:p w14:paraId="5AF61370"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Unless the Buyer gives its Approval the Supplier must not use any:</w:t>
      </w:r>
    </w:p>
    <w:p w14:paraId="5AF61371" w14:textId="77777777" w:rsidR="00A3532F" w:rsidRDefault="00F837C0">
      <w:pPr>
        <w:numPr>
          <w:ilvl w:val="0"/>
          <w:numId w:val="3"/>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of its own Existing IPR that is not COTS Software;</w:t>
      </w:r>
    </w:p>
    <w:p w14:paraId="5AF61372" w14:textId="77777777" w:rsidR="00A3532F" w:rsidRDefault="00F837C0">
      <w:pPr>
        <w:numPr>
          <w:ilvl w:val="0"/>
          <w:numId w:val="3"/>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third party software that is not COTS Software</w:t>
      </w:r>
    </w:p>
    <w:p w14:paraId="5AF61373"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Where the Buyer Approves the use of the Supplier’s Existing IPR that is not COTS Software the Supplier shall grants to the Buyer a perpetual, royalty-free and non-exclusive licence to use adapt, and sub-license the same for any purpose relating to the Deliverables (or substantially equivalent deliverables) or for any purpose relating to the exercise of the Buyer’s (or, if the Buyer is a Central Government Body, any other Central Government Body’s) business or function including  the right to load, execute, store, transmit, display and copy (for the purposes of archiving, backing-up, loading, execution, storage, transmission or display)</w:t>
      </w:r>
      <w:r>
        <w:rPr>
          <w:rFonts w:ascii="Calibri" w:eastAsia="Calibri" w:hAnsi="Calibri" w:cs="Calibri"/>
          <w:color w:val="000000"/>
        </w:rPr>
        <w:t xml:space="preserve"> </w:t>
      </w:r>
      <w:r>
        <w:rPr>
          <w:rFonts w:ascii="Arial" w:eastAsia="Arial" w:hAnsi="Arial" w:cs="Arial"/>
          <w:color w:val="000000"/>
          <w:sz w:val="24"/>
          <w:szCs w:val="24"/>
        </w:rPr>
        <w:t>for the Call Off Contract Period and after expiry of the Contract to the extent necessary to ensure continuity of service and an effective transition of Services to a Replacement Supplier.</w:t>
      </w:r>
    </w:p>
    <w:p w14:paraId="5AF61374"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lastRenderedPageBreak/>
        <w:t>Where the Buyer Approves the use of third party Software that is not COTS Software the Supplier shall procure that the owners or the authorised licensors of any such Software grant a direct licence to the Buyer on terms at least equivalent to those set out in Paragraph 9.2.2. If the Supplier cannot obtain such a licence for the Buyer it shall:</w:t>
      </w:r>
    </w:p>
    <w:p w14:paraId="5AF61375"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notify the Buyer in writing giving details of what licence terms can be obtained and whether there are alternative software providers which the Supplier could seek to use; and</w:t>
      </w:r>
    </w:p>
    <w:p w14:paraId="5AF61376"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only use such third party IPR as referred to </w:t>
      </w:r>
      <w:proofErr w:type="spellStart"/>
      <w:r>
        <w:rPr>
          <w:rFonts w:ascii="Arial" w:eastAsia="Arial" w:hAnsi="Arial" w:cs="Arial"/>
          <w:color w:val="000000"/>
          <w:sz w:val="24"/>
          <w:szCs w:val="24"/>
        </w:rPr>
        <w:t>at</w:t>
      </w:r>
      <w:proofErr w:type="spellEnd"/>
      <w:r>
        <w:rPr>
          <w:rFonts w:ascii="Arial" w:eastAsia="Arial" w:hAnsi="Arial" w:cs="Arial"/>
          <w:color w:val="000000"/>
          <w:sz w:val="24"/>
          <w:szCs w:val="24"/>
        </w:rPr>
        <w:t xml:space="preserve"> paragraph 9.2.3.1 if the Buyer Approves the terms of the licence from the relevant third party.</w:t>
      </w:r>
    </w:p>
    <w:p w14:paraId="5AF61377"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Where the Supplier is unable to provide a license to the Supplier’s Existing IPR in accordance with Paragraph 9.2.2 above, it must meet the requirement by making use of COTS Software or Specially Written Software.  </w:t>
      </w:r>
    </w:p>
    <w:p w14:paraId="5AF61378"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may terminate a licence granted under paragraph 9.2.1 by giving at least thirty (30) days’ notice in writing if there is an Authority Cause which constitutes a material Default which, if capable of remedy, is not remedied within twenty (20) Working Days after the Supplier gives the Buyer written notice specifying the breach and requiring its remedy.</w:t>
      </w:r>
    </w:p>
    <w:p w14:paraId="5AF61379"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r>
        <w:rPr>
          <w:rFonts w:ascii="Arial" w:eastAsia="Arial" w:hAnsi="Arial" w:cs="Arial"/>
          <w:b/>
          <w:color w:val="000000"/>
          <w:sz w:val="24"/>
          <w:szCs w:val="24"/>
        </w:rPr>
        <w:t>Licenses for COTS Software by the Supplier and third parties to the Buyer</w:t>
      </w:r>
    </w:p>
    <w:p w14:paraId="5AF6137A"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either grant, or procure that the owners or the authorised licensors of any COTS Software grant, a direct licence to the Buyer on terms no less favourable than those standard commercial terms on which such software is usually made commercially available.</w:t>
      </w:r>
    </w:p>
    <w:p w14:paraId="5AF6137B"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Where the Supplier owns the COTS Software it shall make available the COTS software to a Replacement Supplier at a price and on terms no less favourable than those standard commercial terms on which such software is usually made commercially available.</w:t>
      </w:r>
    </w:p>
    <w:p w14:paraId="5AF6137C"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Where a third party is the owner of COTS Software licensed in accordance with this Paragraph 9.3 the Supplier shall support the Replacement Supplier to make arrangements with the owner or authorised </w:t>
      </w:r>
      <w:proofErr w:type="spellStart"/>
      <w:r>
        <w:rPr>
          <w:rFonts w:ascii="Arial" w:eastAsia="Arial" w:hAnsi="Arial" w:cs="Arial"/>
          <w:color w:val="000000"/>
          <w:sz w:val="24"/>
          <w:szCs w:val="24"/>
        </w:rPr>
        <w:t>licencee</w:t>
      </w:r>
      <w:proofErr w:type="spellEnd"/>
      <w:r>
        <w:rPr>
          <w:rFonts w:ascii="Arial" w:eastAsia="Arial" w:hAnsi="Arial" w:cs="Arial"/>
          <w:color w:val="000000"/>
          <w:sz w:val="24"/>
          <w:szCs w:val="24"/>
        </w:rPr>
        <w:t xml:space="preserve"> to renew the license at a price and on terms no less favourable than those standard commercial terms on which such software is usually made commercially available.</w:t>
      </w:r>
    </w:p>
    <w:p w14:paraId="5AF6137D" w14:textId="77777777" w:rsidR="00A3532F" w:rsidRDefault="00F837C0">
      <w:pPr>
        <w:numPr>
          <w:ilvl w:val="2"/>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notify the Buyer within seven (7) days of becoming aware of any COTS Software which in the next thirty-six (36) months:</w:t>
      </w:r>
    </w:p>
    <w:p w14:paraId="5AF6137E"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will no longer be maintained or supported by the developer; or</w:t>
      </w:r>
    </w:p>
    <w:p w14:paraId="5AF6137F"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bookmarkStart w:id="10" w:name="_heading=h.17dp8vu" w:colFirst="0" w:colLast="0"/>
      <w:bookmarkEnd w:id="10"/>
      <w:r>
        <w:rPr>
          <w:rFonts w:ascii="Arial" w:eastAsia="Arial" w:hAnsi="Arial" w:cs="Arial"/>
          <w:color w:val="000000"/>
          <w:sz w:val="24"/>
          <w:szCs w:val="24"/>
        </w:rPr>
        <w:t>will no longer be made commercially available</w:t>
      </w:r>
    </w:p>
    <w:p w14:paraId="5AF61380"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r>
        <w:rPr>
          <w:rFonts w:ascii="Arial" w:eastAsia="Arial" w:hAnsi="Arial" w:cs="Arial"/>
          <w:b/>
          <w:color w:val="000000"/>
          <w:sz w:val="24"/>
          <w:szCs w:val="24"/>
        </w:rPr>
        <w:t>Buyer’s right to assign/novate licences</w:t>
      </w:r>
    </w:p>
    <w:p w14:paraId="5AF61381"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11" w:name="_heading=h.3rdcrjn" w:colFirst="0" w:colLast="0"/>
      <w:bookmarkEnd w:id="11"/>
      <w:r>
        <w:rPr>
          <w:rFonts w:ascii="Arial" w:eastAsia="Arial" w:hAnsi="Arial" w:cs="Arial"/>
          <w:color w:val="000000"/>
          <w:sz w:val="24"/>
          <w:szCs w:val="24"/>
        </w:rPr>
        <w:t>The Buyer may assign, novate or otherwise transfer its rights and obligations under the licences granted pursuant to paragraph 9.2  to:</w:t>
      </w:r>
    </w:p>
    <w:p w14:paraId="5AF61382"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 Central Government Body; or</w:t>
      </w:r>
    </w:p>
    <w:p w14:paraId="5AF61383"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bookmarkStart w:id="12" w:name="_heading=h.26in1rg" w:colFirst="0" w:colLast="0"/>
      <w:bookmarkEnd w:id="12"/>
      <w:r>
        <w:rPr>
          <w:rFonts w:ascii="Arial" w:eastAsia="Arial" w:hAnsi="Arial" w:cs="Arial"/>
          <w:color w:val="000000"/>
          <w:sz w:val="24"/>
          <w:szCs w:val="24"/>
        </w:rPr>
        <w:lastRenderedPageBreak/>
        <w:t xml:space="preserve">to </w:t>
      </w:r>
      <w:proofErr w:type="spellStart"/>
      <w:r>
        <w:rPr>
          <w:rFonts w:ascii="Arial" w:eastAsia="Arial" w:hAnsi="Arial" w:cs="Arial"/>
          <w:color w:val="000000"/>
          <w:sz w:val="24"/>
          <w:szCs w:val="24"/>
        </w:rPr>
        <w:t>any body</w:t>
      </w:r>
      <w:proofErr w:type="spellEnd"/>
      <w:r>
        <w:rPr>
          <w:rFonts w:ascii="Arial" w:eastAsia="Arial" w:hAnsi="Arial" w:cs="Arial"/>
          <w:color w:val="000000"/>
          <w:sz w:val="24"/>
          <w:szCs w:val="24"/>
        </w:rPr>
        <w:t xml:space="preserve"> (including any private sector body) which performs or carries on any of the functions and/or activities that previously had been performed and/or carried on by the Buyer.</w:t>
      </w:r>
    </w:p>
    <w:p w14:paraId="5AF61384"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13" w:name="_heading=h.lnxbz9" w:colFirst="0" w:colLast="0"/>
      <w:bookmarkEnd w:id="13"/>
      <w:r>
        <w:rPr>
          <w:rFonts w:ascii="Arial" w:eastAsia="Arial" w:hAnsi="Arial" w:cs="Arial"/>
          <w:color w:val="000000"/>
          <w:sz w:val="24"/>
          <w:szCs w:val="24"/>
        </w:rPr>
        <w:t>If the Buyer ceases to be a Central Government Body, the successor body to the Buyer shall still be entitled to the benefit of the licences granted in paragraph 9.2.</w:t>
      </w:r>
    </w:p>
    <w:p w14:paraId="5AF61385" w14:textId="77777777" w:rsidR="00A3532F" w:rsidRDefault="00F837C0">
      <w:pPr>
        <w:numPr>
          <w:ilvl w:val="1"/>
          <w:numId w:val="1"/>
        </w:numPr>
        <w:pBdr>
          <w:top w:val="nil"/>
          <w:left w:val="nil"/>
          <w:bottom w:val="nil"/>
          <w:right w:val="nil"/>
          <w:between w:val="nil"/>
        </w:pBdr>
        <w:tabs>
          <w:tab w:val="left" w:pos="1418"/>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b/>
          <w:color w:val="000000"/>
          <w:sz w:val="24"/>
          <w:szCs w:val="24"/>
        </w:rPr>
        <w:t>Licence granted by the Buyer</w:t>
      </w:r>
    </w:p>
    <w:p w14:paraId="5AF61386"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14" w:name="_heading=h.35nkun2" w:colFirst="0" w:colLast="0"/>
      <w:bookmarkEnd w:id="14"/>
      <w:r>
        <w:rPr>
          <w:rFonts w:ascii="Arial" w:eastAsia="Arial" w:hAnsi="Arial" w:cs="Arial"/>
          <w:color w:val="000000"/>
          <w:sz w:val="24"/>
          <w:szCs w:val="24"/>
        </w:rPr>
        <w:t>The Buyer grants to the Supplier a royalty-free, non-exclusive, non-transferable licence during the Contract Period to use the Buyer Software and the Specially Written Software solely to the extent necessary for providing the Deliverables in accordance with this Contract, including the right to grant sub-licences to Sub-Contractors provided that any relevant Sub-Contractor has entered into a confidentiality undertaking with the Supplier on the same terms as set out in Clause 15 (Confidentiality).</w:t>
      </w:r>
    </w:p>
    <w:p w14:paraId="5AF61387"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bookmarkStart w:id="15" w:name="_heading=h.1ksv4uv" w:colFirst="0" w:colLast="0"/>
      <w:bookmarkEnd w:id="15"/>
      <w:r>
        <w:rPr>
          <w:rFonts w:ascii="Arial" w:eastAsia="Arial" w:hAnsi="Arial" w:cs="Arial"/>
          <w:b/>
          <w:color w:val="000000"/>
          <w:sz w:val="24"/>
          <w:szCs w:val="24"/>
        </w:rPr>
        <w:t>Open Source Publication</w:t>
      </w:r>
    </w:p>
    <w:p w14:paraId="5AF61388"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16" w:name="_heading=h.44sinio" w:colFirst="0" w:colLast="0"/>
      <w:bookmarkEnd w:id="16"/>
      <w:r>
        <w:rPr>
          <w:rFonts w:ascii="Arial" w:eastAsia="Arial" w:hAnsi="Arial" w:cs="Arial"/>
          <w:color w:val="000000"/>
          <w:sz w:val="24"/>
          <w:szCs w:val="24"/>
        </w:rPr>
        <w:t>Unless the Buyer otherwise agrees in advance in writing (and subject to paragraph 9.6.3) all Specially Written Software and computer program elements of New IPR shall be created in a format, or able to be converted (in which case the Supplier shall also provide the converted format to the Buyer) into a format, which is:</w:t>
      </w:r>
    </w:p>
    <w:p w14:paraId="5AF61389"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suitable for publication by the Buyer as Open Source; and </w:t>
      </w:r>
    </w:p>
    <w:p w14:paraId="5AF6138A"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based on Open Standards (where applicable),</w:t>
      </w:r>
    </w:p>
    <w:p w14:paraId="5AF6138B" w14:textId="77777777" w:rsidR="00A3532F" w:rsidRDefault="00F837C0">
      <w:p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17" w:name="_heading=h.2jxsxqh" w:colFirst="0" w:colLast="0"/>
      <w:bookmarkEnd w:id="17"/>
      <w:r>
        <w:rPr>
          <w:rFonts w:ascii="Arial" w:eastAsia="Arial" w:hAnsi="Arial" w:cs="Arial"/>
          <w:color w:val="000000"/>
          <w:sz w:val="24"/>
          <w:szCs w:val="24"/>
        </w:rPr>
        <w:t>and the Buyer may, at its sole discretion, publish the same as Open Source.</w:t>
      </w:r>
    </w:p>
    <w:p w14:paraId="5AF6138C" w14:textId="77777777" w:rsidR="00A3532F" w:rsidRDefault="00F837C0">
      <w:pPr>
        <w:numPr>
          <w:ilvl w:val="2"/>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color w:val="000000"/>
          <w:sz w:val="24"/>
          <w:szCs w:val="24"/>
        </w:rPr>
      </w:pPr>
      <w:bookmarkStart w:id="18" w:name="_heading=h.z337ya" w:colFirst="0" w:colLast="0"/>
      <w:bookmarkEnd w:id="18"/>
      <w:r>
        <w:rPr>
          <w:rFonts w:ascii="Arial" w:eastAsia="Arial" w:hAnsi="Arial" w:cs="Arial"/>
          <w:color w:val="000000"/>
          <w:sz w:val="24"/>
          <w:szCs w:val="24"/>
        </w:rPr>
        <w:t>The Supplier hereby warrants that the Specially Written Software and the New IPR:</w:t>
      </w:r>
    </w:p>
    <w:p w14:paraId="5AF6138D" w14:textId="77777777" w:rsidR="00A3532F" w:rsidRDefault="00F837C0">
      <w:pPr>
        <w:numPr>
          <w:ilvl w:val="3"/>
          <w:numId w:val="1"/>
        </w:numPr>
        <w:pBdr>
          <w:top w:val="nil"/>
          <w:left w:val="nil"/>
          <w:bottom w:val="nil"/>
          <w:right w:val="nil"/>
          <w:between w:val="nil"/>
        </w:pBdr>
        <w:spacing w:after="2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are suitable for release as Open Source and that the Supplier has used reasonable endeavours when developing the same to ensure that publication by the Buyer will not enable a third party to use them in any way which could reasonably be foreseen to compromise the operation, running or security of the Specially Written Software, New IPRs or the Buyer System;</w:t>
      </w:r>
    </w:p>
    <w:p w14:paraId="5AF6138E" w14:textId="77777777" w:rsidR="00A3532F" w:rsidRDefault="00F837C0">
      <w:pPr>
        <w:numPr>
          <w:ilvl w:val="3"/>
          <w:numId w:val="1"/>
        </w:numPr>
        <w:pBdr>
          <w:top w:val="nil"/>
          <w:left w:val="nil"/>
          <w:bottom w:val="nil"/>
          <w:right w:val="nil"/>
          <w:between w:val="nil"/>
        </w:pBdr>
        <w:spacing w:after="2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have been developed using reasonable endeavours to ensure that their publication by the Buyer shall not cause any harm or damage to any party using them;</w:t>
      </w:r>
    </w:p>
    <w:p w14:paraId="5AF6138F" w14:textId="77777777" w:rsidR="00A3532F" w:rsidRDefault="00F837C0">
      <w:pPr>
        <w:numPr>
          <w:ilvl w:val="3"/>
          <w:numId w:val="1"/>
        </w:numPr>
        <w:pBdr>
          <w:top w:val="nil"/>
          <w:left w:val="nil"/>
          <w:bottom w:val="nil"/>
          <w:right w:val="nil"/>
          <w:between w:val="nil"/>
        </w:pBdr>
        <w:spacing w:after="2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do not contain any material which would bring the Buyer into disrepute;</w:t>
      </w:r>
    </w:p>
    <w:p w14:paraId="5AF61390" w14:textId="77777777" w:rsidR="00A3532F" w:rsidRDefault="00F837C0">
      <w:pPr>
        <w:numPr>
          <w:ilvl w:val="3"/>
          <w:numId w:val="1"/>
        </w:numPr>
        <w:pBdr>
          <w:top w:val="nil"/>
          <w:left w:val="nil"/>
          <w:bottom w:val="nil"/>
          <w:right w:val="nil"/>
          <w:between w:val="nil"/>
        </w:pBdr>
        <w:spacing w:after="2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 xml:space="preserve">can be published as Open Source without breaching the rights of any third party; </w:t>
      </w:r>
    </w:p>
    <w:p w14:paraId="5AF61391" w14:textId="77777777" w:rsidR="00A3532F" w:rsidRDefault="00F837C0">
      <w:pPr>
        <w:numPr>
          <w:ilvl w:val="3"/>
          <w:numId w:val="1"/>
        </w:numPr>
        <w:pBdr>
          <w:top w:val="nil"/>
          <w:left w:val="nil"/>
          <w:bottom w:val="nil"/>
          <w:right w:val="nil"/>
          <w:between w:val="nil"/>
        </w:pBdr>
        <w:spacing w:after="2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will be supplied in a format suitable for publication as Open Source ("</w:t>
      </w:r>
      <w:r>
        <w:rPr>
          <w:rFonts w:ascii="Arial" w:eastAsia="Arial" w:hAnsi="Arial" w:cs="Arial"/>
          <w:b/>
          <w:color w:val="000000"/>
          <w:sz w:val="24"/>
          <w:szCs w:val="24"/>
        </w:rPr>
        <w:t>the Open Source Publication Material</w:t>
      </w:r>
      <w:r>
        <w:rPr>
          <w:rFonts w:ascii="Arial" w:eastAsia="Arial" w:hAnsi="Arial" w:cs="Arial"/>
          <w:color w:val="000000"/>
          <w:sz w:val="24"/>
          <w:szCs w:val="24"/>
        </w:rPr>
        <w:t>") no later than the date notified by the Buyer to the Supplier; and</w:t>
      </w:r>
    </w:p>
    <w:p w14:paraId="5AF61392" w14:textId="77777777" w:rsidR="00A3532F" w:rsidRDefault="00F837C0">
      <w:pPr>
        <w:numPr>
          <w:ilvl w:val="3"/>
          <w:numId w:val="1"/>
        </w:numPr>
        <w:pBdr>
          <w:top w:val="nil"/>
          <w:left w:val="nil"/>
          <w:bottom w:val="nil"/>
          <w:right w:val="nil"/>
          <w:between w:val="nil"/>
        </w:pBdr>
        <w:spacing w:after="220" w:line="240" w:lineRule="auto"/>
        <w:ind w:left="0" w:hanging="2"/>
        <w:jc w:val="left"/>
        <w:rPr>
          <w:rFonts w:ascii="Arial" w:eastAsia="Arial" w:hAnsi="Arial" w:cs="Arial"/>
          <w:color w:val="000000"/>
          <w:sz w:val="24"/>
          <w:szCs w:val="24"/>
        </w:rPr>
      </w:pPr>
      <w:bookmarkStart w:id="19" w:name="_heading=h.3j2qqm3" w:colFirst="0" w:colLast="0"/>
      <w:bookmarkEnd w:id="19"/>
      <w:r>
        <w:rPr>
          <w:rFonts w:ascii="Arial" w:eastAsia="Arial" w:hAnsi="Arial" w:cs="Arial"/>
          <w:color w:val="000000"/>
          <w:sz w:val="24"/>
          <w:szCs w:val="24"/>
        </w:rPr>
        <w:t>do not contain any Malicious Software.</w:t>
      </w:r>
    </w:p>
    <w:p w14:paraId="5AF61393"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lastRenderedPageBreak/>
        <w:t>Where the Buyer has Approved a request by the Supplier for any part of the Specially Written Software or New IPRs to be excluded from the requirement to be in an Open Source format due to the intention to embed or integrate Supplier Existing IPRs and/or Third Party IPRs (and where the Parties agree that such IPRs are not intended to be published as Open Source), the Supplier shall:</w:t>
      </w:r>
    </w:p>
    <w:p w14:paraId="5AF61394"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bookmarkStart w:id="20" w:name="_heading=h.1y810tw" w:colFirst="0" w:colLast="0"/>
      <w:bookmarkEnd w:id="20"/>
      <w:r>
        <w:rPr>
          <w:rFonts w:ascii="Arial" w:eastAsia="Arial" w:hAnsi="Arial" w:cs="Arial"/>
          <w:color w:val="000000"/>
          <w:sz w:val="24"/>
          <w:szCs w:val="24"/>
        </w:rPr>
        <w:t xml:space="preserve">as soon as reasonably practicable, provide written details of the nature of the IPRs and items or Deliverables based on IPRs which are to be excluded from Open Source publication; and </w:t>
      </w:r>
    </w:p>
    <w:p w14:paraId="5AF61395" w14:textId="77777777" w:rsidR="00A3532F" w:rsidRDefault="00F837C0">
      <w:pPr>
        <w:numPr>
          <w:ilvl w:val="3"/>
          <w:numId w:val="1"/>
        </w:numPr>
        <w:pBdr>
          <w:top w:val="nil"/>
          <w:left w:val="nil"/>
          <w:bottom w:val="nil"/>
          <w:right w:val="nil"/>
          <w:between w:val="nil"/>
        </w:pBdr>
        <w:spacing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include in the written details and information about the impact that inclusion of such IPRs or Deliverables based on such IPRs, will have on any other Specially Written Software and/or New IPRs and the Buyer’s ability to publish such other items or Deliverables as Open Source.</w:t>
      </w:r>
    </w:p>
    <w:p w14:paraId="5AF61396" w14:textId="77777777" w:rsidR="00A3532F" w:rsidRDefault="00F837C0">
      <w:pPr>
        <w:numPr>
          <w:ilvl w:val="1"/>
          <w:numId w:val="1"/>
        </w:numPr>
        <w:pBdr>
          <w:top w:val="nil"/>
          <w:left w:val="nil"/>
          <w:bottom w:val="nil"/>
          <w:right w:val="nil"/>
          <w:between w:val="nil"/>
        </w:pBdr>
        <w:tabs>
          <w:tab w:val="left" w:pos="1134"/>
        </w:tabs>
        <w:spacing w:before="120" w:after="120" w:line="240" w:lineRule="auto"/>
        <w:ind w:left="0" w:hanging="2"/>
        <w:jc w:val="left"/>
        <w:rPr>
          <w:rFonts w:ascii="Arial" w:eastAsia="Arial" w:hAnsi="Arial" w:cs="Arial"/>
          <w:b/>
          <w:color w:val="000000"/>
          <w:sz w:val="24"/>
          <w:szCs w:val="24"/>
        </w:rPr>
      </w:pPr>
      <w:bookmarkStart w:id="21" w:name="_heading=h.4i7ojhp" w:colFirst="0" w:colLast="0"/>
      <w:bookmarkEnd w:id="21"/>
      <w:r>
        <w:rPr>
          <w:rFonts w:ascii="Arial" w:eastAsia="Arial" w:hAnsi="Arial" w:cs="Arial"/>
          <w:b/>
          <w:color w:val="000000"/>
          <w:sz w:val="24"/>
          <w:szCs w:val="24"/>
        </w:rPr>
        <w:t>Malicious Software</w:t>
      </w:r>
    </w:p>
    <w:p w14:paraId="5AF61397"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The Supplier shall, throughout the Contract Period, use the latest versions of anti-virus definitions and software available from an industry accepted anti-virus software vendor to check for, contain the spread of, and minimise the impact of Malicious Software.</w:t>
      </w:r>
    </w:p>
    <w:p w14:paraId="5AF61398"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bookmarkStart w:id="22" w:name="_heading=h.2xcytpi" w:colFirst="0" w:colLast="0"/>
      <w:bookmarkEnd w:id="22"/>
      <w:r>
        <w:rPr>
          <w:rFonts w:ascii="Arial" w:eastAsia="Arial" w:hAnsi="Arial" w:cs="Arial"/>
          <w:color w:val="000000"/>
          <w:sz w:val="24"/>
          <w:szCs w:val="24"/>
        </w:rPr>
        <w:t>If Malicious Software is found, the Parties shall co-operate to reduce the effect of the Malicious Software and, particularly if Malicious Software causes loss of operational efficiency or loss or corruption of Government Data, assist each other to mitigate any losses and to restore the provision of the Deliverables to its desired operating efficiency.</w:t>
      </w:r>
    </w:p>
    <w:p w14:paraId="5AF61399" w14:textId="77777777" w:rsidR="00A3532F" w:rsidRDefault="00F837C0">
      <w:pPr>
        <w:numPr>
          <w:ilvl w:val="2"/>
          <w:numId w:val="1"/>
        </w:numPr>
        <w:pBdr>
          <w:top w:val="nil"/>
          <w:left w:val="nil"/>
          <w:bottom w:val="nil"/>
          <w:right w:val="nil"/>
          <w:between w:val="nil"/>
        </w:pBdr>
        <w:tabs>
          <w:tab w:val="left" w:pos="2127"/>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Any cost arising out of the actions of the Parties taken in compliance with the provisions of paragraph 9.7.2 shall be borne by the Parties as follows:</w:t>
      </w:r>
    </w:p>
    <w:p w14:paraId="5AF6139A"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by the Supplier, where the Malicious Software originates from the Supplier Software, the third party Software supplied by the Supplier or the Government Data (whilst the Government Data was under the control of the Supplier) unless the Supplier can demonstrate that such Malicious Software was present and not quarantined or otherwise identified by the Buyer when provided to the Supplier; and</w:t>
      </w:r>
    </w:p>
    <w:p w14:paraId="5AF6139B" w14:textId="77777777" w:rsidR="00A3532F" w:rsidRDefault="00F837C0">
      <w:pPr>
        <w:numPr>
          <w:ilvl w:val="3"/>
          <w:numId w:val="1"/>
        </w:num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r>
        <w:rPr>
          <w:rFonts w:ascii="Arial" w:eastAsia="Arial" w:hAnsi="Arial" w:cs="Arial"/>
          <w:color w:val="000000"/>
          <w:sz w:val="24"/>
          <w:szCs w:val="24"/>
        </w:rPr>
        <w:t>by the Buyer, if the Malicious Software originates from the Buyer Software or the Government Data (whilst the Government Data was under the control of the Buyer).</w:t>
      </w:r>
    </w:p>
    <w:p w14:paraId="5AF6139C" w14:textId="77777777" w:rsidR="00A3532F" w:rsidRDefault="00A3532F">
      <w:pPr>
        <w:pBdr>
          <w:top w:val="nil"/>
          <w:left w:val="nil"/>
          <w:bottom w:val="nil"/>
          <w:right w:val="nil"/>
          <w:between w:val="nil"/>
        </w:pBdr>
        <w:tabs>
          <w:tab w:val="left" w:pos="1985"/>
          <w:tab w:val="left" w:pos="2552"/>
        </w:tabs>
        <w:spacing w:before="120" w:after="120" w:line="240" w:lineRule="auto"/>
        <w:ind w:left="0" w:hanging="2"/>
        <w:jc w:val="left"/>
        <w:rPr>
          <w:rFonts w:ascii="Arial" w:eastAsia="Arial" w:hAnsi="Arial" w:cs="Arial"/>
          <w:color w:val="000000"/>
          <w:sz w:val="24"/>
          <w:szCs w:val="24"/>
        </w:rPr>
      </w:pPr>
    </w:p>
    <w:p w14:paraId="5AF6139D" w14:textId="77777777" w:rsidR="00A3532F" w:rsidRDefault="00F837C0">
      <w:pPr>
        <w:spacing w:after="200" w:line="276" w:lineRule="auto"/>
        <w:ind w:left="0" w:hanging="2"/>
        <w:jc w:val="left"/>
        <w:rPr>
          <w:rFonts w:ascii="Arial" w:eastAsia="Arial" w:hAnsi="Arial" w:cs="Arial"/>
          <w:sz w:val="36"/>
          <w:szCs w:val="36"/>
        </w:rPr>
      </w:pPr>
      <w:r>
        <w:br w:type="page"/>
      </w:r>
    </w:p>
    <w:p w14:paraId="5AF613A7" w14:textId="77777777" w:rsidR="00A3532F" w:rsidRDefault="00A3532F" w:rsidP="002E5F6E">
      <w:pPr>
        <w:pBdr>
          <w:top w:val="nil"/>
          <w:left w:val="nil"/>
          <w:bottom w:val="nil"/>
          <w:right w:val="nil"/>
          <w:between w:val="nil"/>
        </w:pBdr>
        <w:spacing w:line="240" w:lineRule="auto"/>
        <w:ind w:leftChars="0" w:left="0" w:firstLineChars="0" w:firstLine="0"/>
        <w:jc w:val="left"/>
        <w:rPr>
          <w:rFonts w:ascii="Arial" w:eastAsia="Arial" w:hAnsi="Arial" w:cs="Arial"/>
          <w:color w:val="000000"/>
          <w:sz w:val="24"/>
          <w:szCs w:val="24"/>
        </w:rPr>
      </w:pPr>
    </w:p>
    <w:sectPr w:rsidR="00A3532F">
      <w:headerReference w:type="even" r:id="rId9"/>
      <w:headerReference w:type="default" r:id="rId10"/>
      <w:footerReference w:type="even" r:id="rId11"/>
      <w:footerReference w:type="default" r:id="rId12"/>
      <w:headerReference w:type="first" r:id="rId13"/>
      <w:footerReference w:type="first" r:id="rId14"/>
      <w:pgSz w:w="11909" w:h="16834"/>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D821" w14:textId="77777777" w:rsidR="009312EB" w:rsidRDefault="009312EB">
      <w:pPr>
        <w:spacing w:after="0" w:line="240" w:lineRule="auto"/>
        <w:ind w:left="0" w:hanging="2"/>
      </w:pPr>
      <w:r>
        <w:separator/>
      </w:r>
    </w:p>
  </w:endnote>
  <w:endnote w:type="continuationSeparator" w:id="0">
    <w:p w14:paraId="6C32F307" w14:textId="77777777" w:rsidR="009312EB" w:rsidRDefault="009312E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Bold">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FED79" w14:textId="77777777" w:rsidR="00031855" w:rsidRDefault="0003185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13AC" w14:textId="77777777" w:rsidR="00A3532F" w:rsidRDefault="00A3532F">
    <w:pPr>
      <w:pBdr>
        <w:top w:val="nil"/>
        <w:left w:val="nil"/>
        <w:bottom w:val="nil"/>
        <w:right w:val="nil"/>
        <w:between w:val="nil"/>
      </w:pBdr>
      <w:tabs>
        <w:tab w:val="center" w:pos="4153"/>
        <w:tab w:val="right" w:pos="8306"/>
      </w:tabs>
      <w:spacing w:after="0" w:line="240" w:lineRule="auto"/>
      <w:ind w:left="0" w:hanging="2"/>
      <w:rPr>
        <w:rFonts w:ascii="Arial" w:eastAsia="Arial" w:hAnsi="Arial" w:cs="Arial"/>
        <w:color w:val="000000"/>
        <w:sz w:val="20"/>
        <w:szCs w:val="20"/>
      </w:rPr>
    </w:pPr>
  </w:p>
  <w:p w14:paraId="5AF613AD" w14:textId="44CCC489" w:rsidR="00A3532F" w:rsidRDefault="00F837C0">
    <w:pPr>
      <w:pBdr>
        <w:top w:val="nil"/>
        <w:left w:val="nil"/>
        <w:bottom w:val="nil"/>
        <w:right w:val="nil"/>
        <w:between w:val="nil"/>
      </w:pBdr>
      <w:tabs>
        <w:tab w:val="center" w:pos="4153"/>
        <w:tab w:val="right" w:pos="8306"/>
      </w:tabs>
      <w:spacing w:after="0" w:line="240" w:lineRule="auto"/>
      <w:ind w:left="0" w:hanging="2"/>
      <w:rPr>
        <w:rFonts w:ascii="Arial" w:eastAsia="Arial" w:hAnsi="Arial" w:cs="Arial"/>
        <w:color w:val="000000"/>
        <w:sz w:val="20"/>
        <w:szCs w:val="20"/>
      </w:rPr>
    </w:pPr>
    <w:r>
      <w:rPr>
        <w:rFonts w:ascii="Arial" w:eastAsia="Arial" w:hAnsi="Arial" w:cs="Arial"/>
        <w:color w:val="000000"/>
        <w:sz w:val="20"/>
        <w:szCs w:val="20"/>
      </w:rPr>
      <w:t>DPS Ref: RM6173</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DA0A0C">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5AF613AE" w14:textId="77777777" w:rsidR="00A3532F" w:rsidRDefault="00F837C0">
    <w:pPr>
      <w:pBdr>
        <w:top w:val="nil"/>
        <w:left w:val="nil"/>
        <w:bottom w:val="nil"/>
        <w:right w:val="nil"/>
        <w:between w:val="nil"/>
      </w:pBdr>
      <w:tabs>
        <w:tab w:val="center" w:pos="4153"/>
        <w:tab w:val="right" w:pos="8306"/>
      </w:tabs>
      <w:spacing w:after="0" w:line="240" w:lineRule="auto"/>
      <w:ind w:left="0" w:hanging="2"/>
      <w:rPr>
        <w:rFonts w:ascii="Arial" w:eastAsia="Arial" w:hAnsi="Arial" w:cs="Arial"/>
        <w:color w:val="A6A6A6"/>
        <w:sz w:val="20"/>
        <w:szCs w:val="20"/>
      </w:rPr>
    </w:pPr>
    <w:r>
      <w:rPr>
        <w:rFonts w:ascii="Arial" w:eastAsia="Arial" w:hAnsi="Arial" w:cs="Arial"/>
        <w:color w:val="000000"/>
        <w:sz w:val="20"/>
        <w:szCs w:val="20"/>
      </w:rPr>
      <w:t>Model Version: v1.0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13B1" w14:textId="77777777" w:rsidR="00A3532F" w:rsidRDefault="00A3532F">
    <w:pPr>
      <w:pBdr>
        <w:top w:val="nil"/>
        <w:left w:val="nil"/>
        <w:bottom w:val="nil"/>
        <w:right w:val="nil"/>
        <w:between w:val="nil"/>
      </w:pBdr>
      <w:tabs>
        <w:tab w:val="center" w:pos="4153"/>
        <w:tab w:val="right" w:pos="8306"/>
      </w:tabs>
      <w:spacing w:after="0" w:line="240" w:lineRule="auto"/>
      <w:ind w:left="0" w:hanging="2"/>
      <w:rPr>
        <w:rFonts w:ascii="Calibri" w:eastAsia="Calibri" w:hAnsi="Calibri" w:cs="Calibri"/>
        <w:color w:val="A6A6A6"/>
      </w:rPr>
    </w:pPr>
  </w:p>
  <w:p w14:paraId="5AF613B2" w14:textId="77777777" w:rsidR="00A3532F" w:rsidRDefault="00F837C0">
    <w:pPr>
      <w:pBdr>
        <w:top w:val="nil"/>
        <w:left w:val="nil"/>
        <w:bottom w:val="nil"/>
        <w:right w:val="nil"/>
        <w:between w:val="nil"/>
      </w:pBdr>
      <w:tabs>
        <w:tab w:val="center" w:pos="4153"/>
        <w:tab w:val="right" w:pos="8306"/>
      </w:tabs>
      <w:spacing w:after="0" w:line="240" w:lineRule="auto"/>
      <w:ind w:left="0" w:hanging="2"/>
      <w:rPr>
        <w:rFonts w:ascii="Calibri" w:eastAsia="Calibri" w:hAnsi="Calibri" w:cs="Calibri"/>
        <w:color w:val="A6A6A6"/>
      </w:rPr>
    </w:pPr>
    <w:r>
      <w:rPr>
        <w:rFonts w:ascii="Calibri" w:eastAsia="Calibri" w:hAnsi="Calibri" w:cs="Calibri"/>
        <w:color w:val="A6A6A6"/>
      </w:rPr>
      <w:t>Framework Ref: RM</w:t>
    </w:r>
    <w:r>
      <w:rPr>
        <w:rFonts w:ascii="Calibri" w:eastAsia="Calibri" w:hAnsi="Calibri" w:cs="Calibri"/>
        <w:color w:val="A6A6A6"/>
      </w:rPr>
      <w:tab/>
      <w:t xml:space="preserve">                                           </w:t>
    </w:r>
  </w:p>
  <w:p w14:paraId="5AF613B3" w14:textId="77777777" w:rsidR="00A3532F" w:rsidRDefault="00F837C0">
    <w:pPr>
      <w:pBdr>
        <w:top w:val="nil"/>
        <w:left w:val="nil"/>
        <w:bottom w:val="nil"/>
        <w:right w:val="nil"/>
        <w:between w:val="nil"/>
      </w:pBdr>
      <w:tabs>
        <w:tab w:val="center" w:pos="4153"/>
        <w:tab w:val="right" w:pos="8306"/>
      </w:tabs>
      <w:spacing w:after="0" w:line="240" w:lineRule="auto"/>
      <w:ind w:left="0" w:hanging="2"/>
      <w:rPr>
        <w:rFonts w:ascii="Calibri" w:eastAsia="Calibri" w:hAnsi="Calibri" w:cs="Calibri"/>
        <w:color w:val="A6A6A6"/>
      </w:rPr>
    </w:pPr>
    <w:r>
      <w:rPr>
        <w:rFonts w:ascii="Calibri" w:eastAsia="Calibri" w:hAnsi="Calibri" w:cs="Calibri"/>
        <w:color w:val="A6A6A6"/>
      </w:rPr>
      <w:t>Project Version: v1.0</w:t>
    </w:r>
    <w:r>
      <w:rPr>
        <w:rFonts w:ascii="Calibri" w:eastAsia="Calibri" w:hAnsi="Calibri" w:cs="Calibri"/>
        <w:color w:val="A6A6A6"/>
      </w:rPr>
      <w:tab/>
    </w:r>
    <w:r>
      <w:rPr>
        <w:rFonts w:ascii="Calibri" w:eastAsia="Calibri" w:hAnsi="Calibri" w:cs="Calibri"/>
        <w:color w:val="A6A6A6"/>
      </w:rPr>
      <w:tab/>
    </w:r>
    <w:r>
      <w:rPr>
        <w:rFonts w:ascii="Calibri" w:eastAsia="Calibri" w:hAnsi="Calibri" w:cs="Calibri"/>
        <w:color w:val="A6A6A6"/>
      </w:rPr>
      <w:tab/>
      <w:t>1</w:t>
    </w:r>
  </w:p>
  <w:p w14:paraId="5AF613B4" w14:textId="77777777" w:rsidR="00A3532F" w:rsidRDefault="00F837C0">
    <w:pPr>
      <w:pBdr>
        <w:top w:val="nil"/>
        <w:left w:val="nil"/>
        <w:bottom w:val="nil"/>
        <w:right w:val="nil"/>
        <w:between w:val="nil"/>
      </w:pBdr>
      <w:tabs>
        <w:tab w:val="center" w:pos="4153"/>
        <w:tab w:val="right" w:pos="8306"/>
      </w:tabs>
      <w:spacing w:after="0" w:line="240" w:lineRule="auto"/>
      <w:ind w:left="0" w:hanging="2"/>
      <w:rPr>
        <w:color w:val="A6A6A6"/>
      </w:rPr>
    </w:pPr>
    <w:r>
      <w:rPr>
        <w:rFonts w:ascii="Calibri" w:eastAsia="Calibri" w:hAnsi="Calibri" w:cs="Calibri"/>
        <w:color w:val="A6A6A6"/>
      </w:rPr>
      <w:t>Model Version: v2.9</w:t>
    </w:r>
    <w:r>
      <w:rPr>
        <w:rFonts w:ascii="Calibri" w:eastAsia="Calibri" w:hAnsi="Calibri" w:cs="Calibri"/>
        <w:color w:val="A6A6A6"/>
      </w:rPr>
      <w:tab/>
    </w:r>
    <w:r>
      <w:rPr>
        <w:rFonts w:ascii="Calibri" w:eastAsia="Calibri" w:hAnsi="Calibri" w:cs="Calibri"/>
        <w:color w:val="A6A6A6"/>
      </w:rPr>
      <w:tab/>
    </w:r>
    <w:r>
      <w:rPr>
        <w:rFonts w:ascii="Calibri" w:eastAsia="Calibri" w:hAnsi="Calibri" w:cs="Calibri"/>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DF7AF" w14:textId="77777777" w:rsidR="009312EB" w:rsidRDefault="009312EB">
      <w:pPr>
        <w:spacing w:after="0" w:line="240" w:lineRule="auto"/>
        <w:ind w:left="0" w:hanging="2"/>
      </w:pPr>
      <w:r>
        <w:separator/>
      </w:r>
    </w:p>
  </w:footnote>
  <w:footnote w:type="continuationSeparator" w:id="0">
    <w:p w14:paraId="65A78113" w14:textId="77777777" w:rsidR="009312EB" w:rsidRDefault="009312E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614D" w14:textId="77777777" w:rsidR="00031855" w:rsidRDefault="0003185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13A8" w14:textId="77777777" w:rsidR="00A3532F" w:rsidRDefault="00F837C0">
    <w:pPr>
      <w:tabs>
        <w:tab w:val="center" w:pos="4513"/>
        <w:tab w:val="right" w:pos="9026"/>
      </w:tabs>
      <w:spacing w:after="0" w:line="240" w:lineRule="auto"/>
      <w:ind w:left="0" w:hanging="2"/>
      <w:rPr>
        <w:rFonts w:ascii="Arial" w:eastAsia="Arial" w:hAnsi="Arial" w:cs="Arial"/>
        <w:sz w:val="20"/>
        <w:szCs w:val="20"/>
      </w:rPr>
    </w:pPr>
    <w:r>
      <w:rPr>
        <w:rFonts w:ascii="Arial" w:eastAsia="Arial" w:hAnsi="Arial" w:cs="Arial"/>
        <w:b/>
        <w:sz w:val="20"/>
        <w:szCs w:val="20"/>
      </w:rPr>
      <w:t>Order Schedule 6 (ICT Services)</w:t>
    </w:r>
  </w:p>
  <w:p w14:paraId="5AF613A9" w14:textId="77777777" w:rsidR="00A3532F" w:rsidRDefault="00F837C0">
    <w:pPr>
      <w:tabs>
        <w:tab w:val="center" w:pos="4513"/>
        <w:tab w:val="right" w:pos="9026"/>
      </w:tabs>
      <w:spacing w:after="0" w:line="240" w:lineRule="auto"/>
      <w:ind w:left="0" w:hanging="2"/>
      <w:rPr>
        <w:rFonts w:ascii="Arial" w:eastAsia="Arial" w:hAnsi="Arial" w:cs="Arial"/>
        <w:sz w:val="20"/>
        <w:szCs w:val="20"/>
      </w:rPr>
    </w:pPr>
    <w:r>
      <w:rPr>
        <w:rFonts w:ascii="Arial" w:eastAsia="Arial" w:hAnsi="Arial" w:cs="Arial"/>
        <w:sz w:val="20"/>
        <w:szCs w:val="20"/>
      </w:rPr>
      <w:t>Order Ref:</w:t>
    </w:r>
  </w:p>
  <w:p w14:paraId="5AF613AA" w14:textId="4152BB87" w:rsidR="00A3532F" w:rsidRDefault="00F837C0">
    <w:pPr>
      <w:tabs>
        <w:tab w:val="center" w:pos="4513"/>
        <w:tab w:val="right" w:pos="9026"/>
      </w:tabs>
      <w:spacing w:after="0" w:line="240" w:lineRule="auto"/>
      <w:ind w:left="0" w:hanging="2"/>
      <w:rPr>
        <w:rFonts w:ascii="Arial" w:eastAsia="Arial" w:hAnsi="Arial" w:cs="Arial"/>
        <w:sz w:val="20"/>
        <w:szCs w:val="20"/>
      </w:rPr>
    </w:pPr>
    <w:r>
      <w:rPr>
        <w:rFonts w:ascii="Arial" w:eastAsia="Arial" w:hAnsi="Arial" w:cs="Arial"/>
        <w:sz w:val="20"/>
        <w:szCs w:val="20"/>
      </w:rPr>
      <w:t>Crown Copyright 20</w:t>
    </w:r>
    <w:r w:rsidR="00031855">
      <w:rPr>
        <w:rFonts w:ascii="Arial" w:eastAsia="Arial" w:hAnsi="Arial" w:cs="Arial"/>
        <w:sz w:val="20"/>
        <w:szCs w:val="20"/>
      </w:rPr>
      <w:t>2</w:t>
    </w:r>
    <w:r w:rsidR="00DA0A0C">
      <w:rPr>
        <w:rFonts w:ascii="Arial" w:eastAsia="Arial" w:hAnsi="Arial" w:cs="Arial"/>
        <w:sz w:val="20"/>
        <w:szCs w:val="20"/>
      </w:rPr>
      <w:t>0</w:t>
    </w:r>
  </w:p>
  <w:p w14:paraId="5AF613AB" w14:textId="77777777" w:rsidR="00A3532F" w:rsidRDefault="00A3532F">
    <w:pPr>
      <w:pBdr>
        <w:top w:val="nil"/>
        <w:left w:val="nil"/>
        <w:bottom w:val="nil"/>
        <w:right w:val="nil"/>
        <w:between w:val="nil"/>
      </w:pBdr>
      <w:tabs>
        <w:tab w:val="center" w:pos="4153"/>
        <w:tab w:val="right" w:pos="8306"/>
      </w:tabs>
      <w:spacing w:after="0"/>
      <w:ind w:left="0" w:hanging="2"/>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13AF" w14:textId="77777777" w:rsidR="00A3532F" w:rsidRDefault="00A3532F">
    <w:pPr>
      <w:tabs>
        <w:tab w:val="center" w:pos="4513"/>
        <w:tab w:val="right" w:pos="9026"/>
      </w:tabs>
      <w:spacing w:after="0" w:line="240" w:lineRule="auto"/>
      <w:ind w:left="0" w:hanging="2"/>
      <w:rPr>
        <w:rFonts w:ascii="Calibri" w:eastAsia="Calibri" w:hAnsi="Calibri" w:cs="Calibri"/>
      </w:rPr>
    </w:pPr>
  </w:p>
  <w:p w14:paraId="5AF613B0" w14:textId="77777777" w:rsidR="00A3532F" w:rsidRDefault="00A3532F">
    <w:pPr>
      <w:pBdr>
        <w:top w:val="nil"/>
        <w:left w:val="nil"/>
        <w:bottom w:val="nil"/>
        <w:right w:val="nil"/>
        <w:between w:val="nil"/>
      </w:pBdr>
      <w:tabs>
        <w:tab w:val="center" w:pos="4153"/>
        <w:tab w:val="right" w:pos="8306"/>
      </w:tabs>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6345D"/>
    <w:multiLevelType w:val="multilevel"/>
    <w:tmpl w:val="1CA42F2A"/>
    <w:lvl w:ilvl="0">
      <w:start w:val="1"/>
      <w:numFmt w:val="lowerLetter"/>
      <w:pStyle w:val="AppHead"/>
      <w:lvlText w:val="%1)"/>
      <w:lvlJc w:val="left"/>
      <w:pPr>
        <w:ind w:left="2346" w:hanging="360"/>
      </w:pPr>
      <w:rPr>
        <w:vertAlign w:val="baseline"/>
      </w:rPr>
    </w:lvl>
    <w:lvl w:ilvl="1">
      <w:start w:val="1"/>
      <w:numFmt w:val="lowerLetter"/>
      <w:pStyle w:val="AppPart"/>
      <w:lvlText w:val="%2."/>
      <w:lvlJc w:val="left"/>
      <w:pPr>
        <w:ind w:left="3066" w:hanging="360"/>
      </w:pPr>
      <w:rPr>
        <w:vertAlign w:val="baseline"/>
      </w:rPr>
    </w:lvl>
    <w:lvl w:ilvl="2">
      <w:start w:val="1"/>
      <w:numFmt w:val="lowerRoman"/>
      <w:lvlText w:val="%3."/>
      <w:lvlJc w:val="right"/>
      <w:pPr>
        <w:ind w:left="3786" w:hanging="180"/>
      </w:pPr>
      <w:rPr>
        <w:vertAlign w:val="baseline"/>
      </w:rPr>
    </w:lvl>
    <w:lvl w:ilvl="3">
      <w:start w:val="1"/>
      <w:numFmt w:val="decimal"/>
      <w:lvlText w:val="%4."/>
      <w:lvlJc w:val="left"/>
      <w:pPr>
        <w:ind w:left="4506" w:hanging="360"/>
      </w:pPr>
      <w:rPr>
        <w:vertAlign w:val="baseline"/>
      </w:rPr>
    </w:lvl>
    <w:lvl w:ilvl="4">
      <w:start w:val="1"/>
      <w:numFmt w:val="lowerLetter"/>
      <w:lvlText w:val="%5."/>
      <w:lvlJc w:val="left"/>
      <w:pPr>
        <w:ind w:left="5226" w:hanging="360"/>
      </w:pPr>
      <w:rPr>
        <w:vertAlign w:val="baseline"/>
      </w:rPr>
    </w:lvl>
    <w:lvl w:ilvl="5">
      <w:start w:val="1"/>
      <w:numFmt w:val="lowerRoman"/>
      <w:lvlText w:val="%6."/>
      <w:lvlJc w:val="right"/>
      <w:pPr>
        <w:ind w:left="5946" w:hanging="180"/>
      </w:pPr>
      <w:rPr>
        <w:vertAlign w:val="baseline"/>
      </w:rPr>
    </w:lvl>
    <w:lvl w:ilvl="6">
      <w:start w:val="1"/>
      <w:numFmt w:val="decimal"/>
      <w:lvlText w:val="%7."/>
      <w:lvlJc w:val="left"/>
      <w:pPr>
        <w:ind w:left="6666" w:hanging="360"/>
      </w:pPr>
      <w:rPr>
        <w:vertAlign w:val="baseline"/>
      </w:rPr>
    </w:lvl>
    <w:lvl w:ilvl="7">
      <w:start w:val="1"/>
      <w:numFmt w:val="lowerLetter"/>
      <w:lvlText w:val="%8."/>
      <w:lvlJc w:val="left"/>
      <w:pPr>
        <w:ind w:left="7386" w:hanging="360"/>
      </w:pPr>
      <w:rPr>
        <w:vertAlign w:val="baseline"/>
      </w:rPr>
    </w:lvl>
    <w:lvl w:ilvl="8">
      <w:start w:val="1"/>
      <w:numFmt w:val="lowerRoman"/>
      <w:lvlText w:val="%9."/>
      <w:lvlJc w:val="right"/>
      <w:pPr>
        <w:ind w:left="8106" w:hanging="180"/>
      </w:pPr>
      <w:rPr>
        <w:vertAlign w:val="baseline"/>
      </w:rPr>
    </w:lvl>
  </w:abstractNum>
  <w:abstractNum w:abstractNumId="1" w15:restartNumberingAfterBreak="0">
    <w:nsid w:val="2D401993"/>
    <w:multiLevelType w:val="multilevel"/>
    <w:tmpl w:val="9EC6B172"/>
    <w:lvl w:ilvl="0">
      <w:start w:val="1"/>
      <w:numFmt w:val="decimal"/>
      <w:lvlText w:val="%1."/>
      <w:lvlJc w:val="left"/>
      <w:pPr>
        <w:ind w:left="360" w:hanging="360"/>
      </w:pPr>
      <w:rPr>
        <w:vertAlign w:val="baseline"/>
      </w:rPr>
    </w:lvl>
    <w:lvl w:ilvl="1">
      <w:start w:val="1"/>
      <w:numFmt w:val="decimal"/>
      <w:lvlText w:val="%1.%2."/>
      <w:lvlJc w:val="left"/>
      <w:pPr>
        <w:ind w:left="936" w:hanging="576"/>
      </w:pPr>
      <w:rPr>
        <w:b w:val="0"/>
        <w:vertAlign w:val="baseline"/>
      </w:rPr>
    </w:lvl>
    <w:lvl w:ilvl="2">
      <w:start w:val="1"/>
      <w:numFmt w:val="decimal"/>
      <w:lvlText w:val="%1.%2.%3."/>
      <w:lvlJc w:val="left"/>
      <w:pPr>
        <w:ind w:left="1656" w:hanging="720"/>
      </w:pPr>
      <w:rPr>
        <w:vertAlign w:val="baseline"/>
      </w:rPr>
    </w:lvl>
    <w:lvl w:ilvl="3">
      <w:start w:val="1"/>
      <w:numFmt w:val="decimal"/>
      <w:lvlText w:val="%1.%2.%3.%4."/>
      <w:lvlJc w:val="left"/>
      <w:pPr>
        <w:ind w:left="2592" w:hanging="936"/>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 w15:restartNumberingAfterBreak="0">
    <w:nsid w:val="520E2CD4"/>
    <w:multiLevelType w:val="multilevel"/>
    <w:tmpl w:val="15D60A0E"/>
    <w:lvl w:ilvl="0">
      <w:start w:val="1"/>
      <w:numFmt w:val="decimal"/>
      <w:pStyle w:val="BodyTextIndent"/>
      <w:lvlText w:val="%1."/>
      <w:lvlJc w:val="left"/>
      <w:pPr>
        <w:tabs>
          <w:tab w:val="num" w:pos="720"/>
        </w:tabs>
        <w:ind w:left="720" w:hanging="720"/>
      </w:pPr>
    </w:lvl>
    <w:lvl w:ilvl="1">
      <w:start w:val="1"/>
      <w:numFmt w:val="decimal"/>
      <w:pStyle w:val="BodyTextIndent2"/>
      <w:lvlText w:val="%2."/>
      <w:lvlJc w:val="left"/>
      <w:pPr>
        <w:tabs>
          <w:tab w:val="num" w:pos="1440"/>
        </w:tabs>
        <w:ind w:left="1440" w:hanging="720"/>
      </w:pPr>
    </w:lvl>
    <w:lvl w:ilvl="2">
      <w:start w:val="1"/>
      <w:numFmt w:val="decimal"/>
      <w:pStyle w:val="DefinitionNumbering1"/>
      <w:lvlText w:val="%3."/>
      <w:lvlJc w:val="left"/>
      <w:pPr>
        <w:tabs>
          <w:tab w:val="num" w:pos="2160"/>
        </w:tabs>
        <w:ind w:left="2160" w:hanging="720"/>
      </w:pPr>
    </w:lvl>
    <w:lvl w:ilvl="3">
      <w:start w:val="1"/>
      <w:numFmt w:val="decimal"/>
      <w:pStyle w:val="DefinitionNumbering2"/>
      <w:lvlText w:val="%4."/>
      <w:lvlJc w:val="left"/>
      <w:pPr>
        <w:tabs>
          <w:tab w:val="num" w:pos="2880"/>
        </w:tabs>
        <w:ind w:left="2880" w:hanging="720"/>
      </w:pPr>
    </w:lvl>
    <w:lvl w:ilvl="4">
      <w:start w:val="1"/>
      <w:numFmt w:val="decimal"/>
      <w:pStyle w:val="DefinitionNumbering3"/>
      <w:lvlText w:val="%5."/>
      <w:lvlJc w:val="left"/>
      <w:pPr>
        <w:tabs>
          <w:tab w:val="num" w:pos="3600"/>
        </w:tabs>
        <w:ind w:left="3600" w:hanging="720"/>
      </w:pPr>
    </w:lvl>
    <w:lvl w:ilvl="5">
      <w:start w:val="1"/>
      <w:numFmt w:val="decimal"/>
      <w:pStyle w:val="DefinitionNumbering4"/>
      <w:lvlText w:val="%6."/>
      <w:lvlJc w:val="left"/>
      <w:pPr>
        <w:tabs>
          <w:tab w:val="num" w:pos="4320"/>
        </w:tabs>
        <w:ind w:left="4320" w:hanging="720"/>
      </w:pPr>
    </w:lvl>
    <w:lvl w:ilvl="6">
      <w:start w:val="1"/>
      <w:numFmt w:val="decimal"/>
      <w:pStyle w:val="DefinitionNumbering5"/>
      <w:lvlText w:val="%7."/>
      <w:lvlJc w:val="left"/>
      <w:pPr>
        <w:tabs>
          <w:tab w:val="num" w:pos="5040"/>
        </w:tabs>
        <w:ind w:left="5040" w:hanging="720"/>
      </w:pPr>
    </w:lvl>
    <w:lvl w:ilvl="7">
      <w:start w:val="1"/>
      <w:numFmt w:val="decimal"/>
      <w:pStyle w:val="DefinitionNumbering6"/>
      <w:lvlText w:val="%8."/>
      <w:lvlJc w:val="left"/>
      <w:pPr>
        <w:tabs>
          <w:tab w:val="num" w:pos="5760"/>
        </w:tabs>
        <w:ind w:left="5760" w:hanging="720"/>
      </w:pPr>
    </w:lvl>
    <w:lvl w:ilvl="8">
      <w:start w:val="1"/>
      <w:numFmt w:val="decimal"/>
      <w:pStyle w:val="ListBullet"/>
      <w:lvlText w:val="%9."/>
      <w:lvlJc w:val="left"/>
      <w:pPr>
        <w:tabs>
          <w:tab w:val="num" w:pos="6480"/>
        </w:tabs>
        <w:ind w:left="6480" w:hanging="720"/>
      </w:pPr>
    </w:lvl>
  </w:abstractNum>
  <w:abstractNum w:abstractNumId="3" w15:restartNumberingAfterBreak="0">
    <w:nsid w:val="55962A5E"/>
    <w:multiLevelType w:val="multilevel"/>
    <w:tmpl w:val="165647A4"/>
    <w:lvl w:ilvl="0">
      <w:start w:val="1"/>
      <w:numFmt w:val="decimal"/>
      <w:lvlText w:val=""/>
      <w:lvlJc w:val="left"/>
      <w:pPr>
        <w:ind w:left="360" w:firstLine="0"/>
      </w:pPr>
      <w:rPr>
        <w:smallCaps w:val="0"/>
        <w:vertAlign w:val="baseline"/>
      </w:rPr>
    </w:lvl>
    <w:lvl w:ilvl="1">
      <w:start w:val="1"/>
      <w:numFmt w:val="decimal"/>
      <w:lvlText w:val="%1.%2"/>
      <w:lvlJc w:val="left"/>
      <w:pPr>
        <w:ind w:left="360" w:firstLine="0"/>
      </w:pPr>
      <w:rPr>
        <w:smallCaps w:val="0"/>
        <w:vertAlign w:val="baseline"/>
      </w:rPr>
    </w:lvl>
    <w:lvl w:ilvl="2">
      <w:start w:val="1"/>
      <w:numFmt w:val="lowerLetter"/>
      <w:lvlText w:val="(%3)"/>
      <w:lvlJc w:val="left"/>
      <w:pPr>
        <w:ind w:left="360" w:hanging="720"/>
      </w:pPr>
      <w:rPr>
        <w:smallCaps w:val="0"/>
        <w:vertAlign w:val="baseline"/>
      </w:rPr>
    </w:lvl>
    <w:lvl w:ilvl="3">
      <w:start w:val="1"/>
      <w:numFmt w:val="lowerRoman"/>
      <w:lvlText w:val="(%4)"/>
      <w:lvlJc w:val="left"/>
      <w:pPr>
        <w:ind w:left="2520" w:hanging="1080"/>
      </w:pPr>
      <w:rPr>
        <w:smallCaps w:val="0"/>
        <w:vertAlign w:val="baseline"/>
      </w:rPr>
    </w:lvl>
    <w:lvl w:ilvl="4">
      <w:start w:val="1"/>
      <w:numFmt w:val="upperLetter"/>
      <w:lvlText w:val="(%5)"/>
      <w:lvlJc w:val="left"/>
      <w:pPr>
        <w:ind w:left="3240" w:hanging="720"/>
      </w:pPr>
      <w:rPr>
        <w:smallCaps w:val="0"/>
        <w:vertAlign w:val="baseline"/>
      </w:rPr>
    </w:lvl>
    <w:lvl w:ilvl="5">
      <w:start w:val="1"/>
      <w:numFmt w:val="decimal"/>
      <w:lvlText w:val=""/>
      <w:lvlJc w:val="left"/>
      <w:pPr>
        <w:ind w:left="2520" w:hanging="1080"/>
      </w:pPr>
      <w:rPr>
        <w:smallCaps w:val="0"/>
        <w:vertAlign w:val="baseline"/>
      </w:rPr>
    </w:lvl>
    <w:lvl w:ilvl="6">
      <w:start w:val="1"/>
      <w:numFmt w:val="decimal"/>
      <w:lvlText w:val=""/>
      <w:lvlJc w:val="left"/>
      <w:pPr>
        <w:ind w:left="2520" w:hanging="1080"/>
      </w:pPr>
      <w:rPr>
        <w:smallCaps w:val="0"/>
        <w:vertAlign w:val="baseline"/>
      </w:rPr>
    </w:lvl>
    <w:lvl w:ilvl="7">
      <w:start w:val="1"/>
      <w:numFmt w:val="decimal"/>
      <w:lvlText w:val=""/>
      <w:lvlJc w:val="left"/>
      <w:pPr>
        <w:ind w:left="2520" w:hanging="1080"/>
      </w:pPr>
      <w:rPr>
        <w:smallCaps w:val="0"/>
        <w:vertAlign w:val="baseline"/>
      </w:rPr>
    </w:lvl>
    <w:lvl w:ilvl="8">
      <w:start w:val="1"/>
      <w:numFmt w:val="decimal"/>
      <w:lvlText w:val=""/>
      <w:lvlJc w:val="left"/>
      <w:pPr>
        <w:ind w:left="2520" w:hanging="1080"/>
      </w:pPr>
      <w:rPr>
        <w:smallCaps w:val="0"/>
        <w:vertAlign w:val="baseline"/>
      </w:rPr>
    </w:lvl>
  </w:abstractNum>
  <w:abstractNum w:abstractNumId="4" w15:restartNumberingAfterBreak="0">
    <w:nsid w:val="69C16E31"/>
    <w:multiLevelType w:val="multilevel"/>
    <w:tmpl w:val="19A66E30"/>
    <w:lvl w:ilvl="0">
      <w:start w:val="1"/>
      <w:numFmt w:val="decimal"/>
      <w:pStyle w:val="SchHead"/>
      <w:lvlText w:val="%1"/>
      <w:lvlJc w:val="left"/>
      <w:pPr>
        <w:ind w:left="170" w:hanging="170"/>
      </w:pPr>
      <w:rPr>
        <w:rFonts w:ascii="Arial" w:eastAsia="Arial" w:hAnsi="Arial" w:cs="Arial"/>
        <w:sz w:val="22"/>
        <w:szCs w:val="22"/>
        <w:vertAlign w:val="baseline"/>
      </w:rPr>
    </w:lvl>
    <w:lvl w:ilvl="1">
      <w:start w:val="1"/>
      <w:numFmt w:val="lowerLetter"/>
      <w:pStyle w:val="SchPart"/>
      <w:lvlText w:val="%2)"/>
      <w:lvlJc w:val="left"/>
      <w:pPr>
        <w:ind w:left="720" w:hanging="360"/>
      </w:pPr>
      <w:rPr>
        <w:rFonts w:ascii="Arial" w:eastAsia="Arial" w:hAnsi="Arial" w:cs="Arial"/>
        <w:b w:val="0"/>
        <w:i w:val="0"/>
        <w:smallCaps w:val="0"/>
        <w:strike w:val="0"/>
        <w:color w:val="000000"/>
        <w:u w:val="none"/>
        <w:vertAlign w:val="baseline"/>
      </w:rPr>
    </w:lvl>
    <w:lvl w:ilvl="2">
      <w:start w:val="1"/>
      <w:numFmt w:val="lowerRoman"/>
      <w:pStyle w:val="SchSection"/>
      <w:lvlText w:val="%3)"/>
      <w:lvlJc w:val="left"/>
      <w:pPr>
        <w:ind w:left="1080" w:hanging="360"/>
      </w:pPr>
      <w:rPr>
        <w:rFonts w:ascii="Arial" w:eastAsia="Arial" w:hAnsi="Arial" w:cs="Arial"/>
        <w:sz w:val="22"/>
        <w:szCs w:val="22"/>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5" w15:restartNumberingAfterBreak="0">
    <w:nsid w:val="6BA32949"/>
    <w:multiLevelType w:val="multilevel"/>
    <w:tmpl w:val="3EE66056"/>
    <w:lvl w:ilvl="0">
      <w:start w:val="1"/>
      <w:numFmt w:val="decimal"/>
      <w:pStyle w:val="Heading1"/>
      <w:lvlText w:val="%1"/>
      <w:lvlJc w:val="left"/>
      <w:pPr>
        <w:ind w:left="170" w:hanging="170"/>
      </w:pPr>
      <w:rPr>
        <w:rFonts w:ascii="Arial" w:eastAsia="Arial" w:hAnsi="Arial" w:cs="Arial"/>
        <w:sz w:val="22"/>
        <w:szCs w:val="22"/>
        <w:vertAlign w:val="baseline"/>
      </w:rPr>
    </w:lvl>
    <w:lvl w:ilvl="1">
      <w:start w:val="1"/>
      <w:numFmt w:val="lowerLetter"/>
      <w:pStyle w:val="Heading2"/>
      <w:lvlText w:val="%2)"/>
      <w:lvlJc w:val="left"/>
      <w:pPr>
        <w:ind w:left="720" w:hanging="360"/>
      </w:pPr>
      <w:rPr>
        <w:rFonts w:ascii="Arial" w:eastAsia="Arial" w:hAnsi="Arial" w:cs="Arial"/>
        <w:b w:val="0"/>
        <w:i w:val="0"/>
        <w:smallCaps w:val="0"/>
        <w:strike w:val="0"/>
        <w:color w:val="000000"/>
        <w:u w:val="none"/>
        <w:vertAlign w:val="baseline"/>
      </w:rPr>
    </w:lvl>
    <w:lvl w:ilvl="2">
      <w:start w:val="1"/>
      <w:numFmt w:val="lowerRoman"/>
      <w:pStyle w:val="Heading3"/>
      <w:lvlText w:val="%3)"/>
      <w:lvlJc w:val="left"/>
      <w:pPr>
        <w:ind w:left="1080" w:hanging="360"/>
      </w:pPr>
      <w:rPr>
        <w:rFonts w:ascii="Arial" w:eastAsia="Arial" w:hAnsi="Arial" w:cs="Arial"/>
        <w:sz w:val="22"/>
        <w:szCs w:val="22"/>
        <w:vertAlign w:val="baseline"/>
      </w:rPr>
    </w:lvl>
    <w:lvl w:ilvl="3">
      <w:start w:val="1"/>
      <w:numFmt w:val="decimal"/>
      <w:pStyle w:val="Heading4"/>
      <w:lvlText w:val="(%4)"/>
      <w:lvlJc w:val="left"/>
      <w:pPr>
        <w:ind w:left="1440" w:hanging="360"/>
      </w:pPr>
      <w:rPr>
        <w:vertAlign w:val="baseline"/>
      </w:rPr>
    </w:lvl>
    <w:lvl w:ilvl="4">
      <w:start w:val="1"/>
      <w:numFmt w:val="lowerLetter"/>
      <w:pStyle w:val="Heading5"/>
      <w:lvlText w:val="(%5)"/>
      <w:lvlJc w:val="left"/>
      <w:pPr>
        <w:ind w:left="1800" w:hanging="360"/>
      </w:pPr>
      <w:rPr>
        <w:vertAlign w:val="baseline"/>
      </w:rPr>
    </w:lvl>
    <w:lvl w:ilvl="5">
      <w:start w:val="1"/>
      <w:numFmt w:val="lowerRoman"/>
      <w:pStyle w:val="Heading6"/>
      <w:lvlText w:val="(%6)"/>
      <w:lvlJc w:val="left"/>
      <w:pPr>
        <w:ind w:left="2160" w:hanging="360"/>
      </w:pPr>
      <w:rPr>
        <w:vertAlign w:val="baseline"/>
      </w:rPr>
    </w:lvl>
    <w:lvl w:ilvl="6">
      <w:start w:val="1"/>
      <w:numFmt w:val="decimal"/>
      <w:pStyle w:val="Heading7"/>
      <w:lvlText w:val="%7."/>
      <w:lvlJc w:val="left"/>
      <w:pPr>
        <w:ind w:left="2520" w:hanging="360"/>
      </w:pPr>
      <w:rPr>
        <w:vertAlign w:val="baseline"/>
      </w:rPr>
    </w:lvl>
    <w:lvl w:ilvl="7">
      <w:start w:val="1"/>
      <w:numFmt w:val="lowerLetter"/>
      <w:pStyle w:val="Heading8"/>
      <w:lvlText w:val="%8."/>
      <w:lvlJc w:val="left"/>
      <w:pPr>
        <w:ind w:left="2880" w:hanging="360"/>
      </w:pPr>
      <w:rPr>
        <w:vertAlign w:val="baseline"/>
      </w:rPr>
    </w:lvl>
    <w:lvl w:ilvl="8">
      <w:start w:val="1"/>
      <w:numFmt w:val="lowerRoman"/>
      <w:pStyle w:val="Heading9"/>
      <w:lvlText w:val="%9."/>
      <w:lvlJc w:val="left"/>
      <w:pPr>
        <w:ind w:left="3240" w:hanging="360"/>
      </w:pPr>
      <w:rPr>
        <w:vertAlign w:val="baseline"/>
      </w:rPr>
    </w:lvl>
  </w:abstractNum>
  <w:num w:numId="1">
    <w:abstractNumId w:val="1"/>
  </w:num>
  <w:num w:numId="2">
    <w:abstractNumId w:val="5"/>
  </w:num>
  <w:num w:numId="3">
    <w:abstractNumId w:val="0"/>
  </w:num>
  <w:num w:numId="4">
    <w:abstractNumId w:val="3"/>
  </w:num>
  <w:num w:numId="5">
    <w:abstractNumId w:val="4"/>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32F"/>
    <w:rsid w:val="00031855"/>
    <w:rsid w:val="002E5F6E"/>
    <w:rsid w:val="009312EB"/>
    <w:rsid w:val="00A34CD3"/>
    <w:rsid w:val="00A3532F"/>
    <w:rsid w:val="00DA0A0C"/>
    <w:rsid w:val="00F477B7"/>
    <w:rsid w:val="00F64286"/>
    <w:rsid w:val="00F837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612E9"/>
  <w15:docId w15:val="{FB651C50-744E-4A43-B243-E422247A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overflowPunct w:val="0"/>
      <w:autoSpaceDE w:val="0"/>
      <w:autoSpaceDN w:val="0"/>
      <w:adjustRightInd w:val="0"/>
      <w:ind w:leftChars="-1" w:left="-1" w:hangingChars="1" w:hanging="1"/>
      <w:textDirection w:val="btLr"/>
      <w:textAlignment w:val="baseline"/>
      <w:outlineLvl w:val="0"/>
    </w:pPr>
    <w:rPr>
      <w:position w:val="-1"/>
      <w:lang w:eastAsia="en-US"/>
    </w:rPr>
  </w:style>
  <w:style w:type="paragraph" w:styleId="Heading1">
    <w:name w:val="heading 1"/>
    <w:basedOn w:val="HouseStyleBase"/>
    <w:pPr>
      <w:numPr>
        <w:numId w:val="2"/>
      </w:numPr>
      <w:ind w:left="-1" w:hanging="1"/>
    </w:pPr>
  </w:style>
  <w:style w:type="paragraph" w:styleId="Heading2">
    <w:name w:val="heading 2"/>
    <w:basedOn w:val="HouseStyleBase"/>
    <w:pPr>
      <w:numPr>
        <w:ilvl w:val="1"/>
        <w:numId w:val="2"/>
      </w:numPr>
      <w:ind w:left="-1" w:hanging="1"/>
      <w:outlineLvl w:val="1"/>
    </w:pPr>
    <w:rPr>
      <w:rFonts w:ascii="Calibri" w:eastAsia="STZhongsong" w:hAnsi="Calibri"/>
    </w:rPr>
  </w:style>
  <w:style w:type="paragraph" w:styleId="Heading3">
    <w:name w:val="heading 3"/>
    <w:basedOn w:val="HouseStyleBase"/>
    <w:pPr>
      <w:numPr>
        <w:ilvl w:val="2"/>
        <w:numId w:val="2"/>
      </w:numPr>
      <w:ind w:left="-1" w:hanging="1"/>
      <w:outlineLvl w:val="2"/>
    </w:pPr>
  </w:style>
  <w:style w:type="paragraph" w:styleId="Heading4">
    <w:name w:val="heading 4"/>
    <w:basedOn w:val="HouseStyleBase"/>
    <w:pPr>
      <w:numPr>
        <w:ilvl w:val="3"/>
        <w:numId w:val="2"/>
      </w:numPr>
      <w:ind w:left="-1" w:hanging="1"/>
      <w:outlineLvl w:val="3"/>
    </w:pPr>
  </w:style>
  <w:style w:type="paragraph" w:styleId="Heading5">
    <w:name w:val="heading 5"/>
    <w:basedOn w:val="HouseStyleBase"/>
    <w:pPr>
      <w:numPr>
        <w:ilvl w:val="4"/>
        <w:numId w:val="2"/>
      </w:numPr>
      <w:ind w:left="-1" w:hanging="1"/>
      <w:outlineLvl w:val="4"/>
    </w:pPr>
  </w:style>
  <w:style w:type="paragraph" w:styleId="Heading6">
    <w:name w:val="heading 6"/>
    <w:basedOn w:val="HouseStyleBase"/>
    <w:pPr>
      <w:numPr>
        <w:ilvl w:val="5"/>
        <w:numId w:val="2"/>
      </w:numPr>
      <w:ind w:left="-1" w:hanging="1"/>
      <w:outlineLvl w:val="5"/>
    </w:pPr>
  </w:style>
  <w:style w:type="paragraph" w:styleId="Heading7">
    <w:name w:val="heading 7"/>
    <w:basedOn w:val="HouseStyleBase"/>
    <w:pPr>
      <w:numPr>
        <w:ilvl w:val="6"/>
        <w:numId w:val="2"/>
      </w:numPr>
      <w:ind w:left="-1" w:hanging="1"/>
      <w:outlineLvl w:val="6"/>
    </w:pPr>
  </w:style>
  <w:style w:type="paragraph" w:styleId="Heading8">
    <w:name w:val="heading 8"/>
    <w:basedOn w:val="HouseStyleBase"/>
    <w:pPr>
      <w:numPr>
        <w:ilvl w:val="7"/>
        <w:numId w:val="2"/>
      </w:numPr>
      <w:ind w:left="-1" w:hanging="1"/>
      <w:outlineLvl w:val="7"/>
    </w:pPr>
  </w:style>
  <w:style w:type="paragraph" w:styleId="Heading9">
    <w:name w:val="heading 9"/>
    <w:basedOn w:val="HouseStyleBase"/>
    <w:pPr>
      <w:numPr>
        <w:ilvl w:val="8"/>
        <w:numId w:val="2"/>
      </w:numPr>
      <w:ind w:left="-1" w:hanging="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spacing w:before="240" w:after="60"/>
      <w:jc w:val="center"/>
    </w:pPr>
    <w:rPr>
      <w:rFonts w:ascii="Arial" w:hAnsi="Arial"/>
      <w:b/>
      <w:kern w:val="28"/>
      <w:sz w:val="32"/>
    </w:rPr>
  </w:style>
  <w:style w:type="paragraph" w:styleId="Footer">
    <w:name w:val="footer"/>
    <w:basedOn w:val="Normal"/>
    <w:pPr>
      <w:tabs>
        <w:tab w:val="center" w:pos="4153"/>
        <w:tab w:val="right" w:pos="8306"/>
      </w:tabs>
      <w:spacing w:after="0" w:line="240" w:lineRule="auto"/>
    </w:pPr>
  </w:style>
  <w:style w:type="paragraph" w:styleId="BodyTextIndent">
    <w:name w:val="Body Text Indent"/>
    <w:basedOn w:val="HouseStyleBase"/>
    <w:pPr>
      <w:numPr>
        <w:numId w:val="6"/>
      </w:numPr>
      <w:ind w:left="-1" w:hanging="1"/>
    </w:pPr>
    <w:rPr>
      <w:rFonts w:ascii="Calibri" w:eastAsia="STZhongsong" w:hAnsi="Calibri"/>
    </w:rPr>
  </w:style>
  <w:style w:type="paragraph" w:styleId="BodyTextIndent2">
    <w:name w:val="Body Text Indent 2"/>
    <w:basedOn w:val="HouseStyleBase"/>
    <w:pPr>
      <w:numPr>
        <w:ilvl w:val="1"/>
        <w:numId w:val="6"/>
      </w:numPr>
      <w:ind w:left="-1" w:hanging="1"/>
    </w:pPr>
  </w:style>
  <w:style w:type="paragraph" w:styleId="BodyTextIndent3">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MarginText">
    <w:name w:val="Margin Text"/>
    <w:basedOn w:val="HouseStyleBase"/>
    <w:rPr>
      <w:rFonts w:ascii="Calibri" w:eastAsia="STZhongsong" w:hAnsi="Calibri"/>
    </w:rPr>
  </w:style>
  <w:style w:type="paragraph" w:styleId="BodyText">
    <w:name w:val="Body Text"/>
    <w:basedOn w:val="Normal"/>
    <w:pPr>
      <w:spacing w:after="120"/>
    </w:pPr>
  </w:style>
  <w:style w:type="character" w:styleId="PageNumber">
    <w:name w:val="page number"/>
    <w:rPr>
      <w:w w:val="100"/>
      <w:position w:val="-1"/>
      <w:sz w:val="22"/>
      <w:effect w:val="none"/>
      <w:vertAlign w:val="baseline"/>
      <w:cs w:val="0"/>
      <w:em w:val="none"/>
    </w:rPr>
  </w:style>
  <w:style w:type="paragraph" w:styleId="Header">
    <w:name w:val="header"/>
    <w:basedOn w:val="Normal"/>
    <w:pPr>
      <w:tabs>
        <w:tab w:val="center" w:pos="4153"/>
        <w:tab w:val="right" w:pos="8306"/>
      </w:tabs>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SchHead">
    <w:name w:val="SchHead"/>
    <w:basedOn w:val="HouseStyleBaseCentred"/>
    <w:next w:val="SchPart"/>
    <w:pPr>
      <w:keepNext/>
      <w:numPr>
        <w:numId w:val="5"/>
      </w:numPr>
      <w:ind w:left="-1" w:hanging="1"/>
      <w:jc w:val="center"/>
    </w:pPr>
    <w:rPr>
      <w:b/>
      <w:caps/>
    </w:rPr>
  </w:style>
  <w:style w:type="paragraph" w:customStyle="1" w:styleId="ScheduleL1">
    <w:name w:val="Schedule L1"/>
    <w:basedOn w:val="HouseStyleBase"/>
    <w:pPr>
      <w:keepNext/>
      <w:tabs>
        <w:tab w:val="num" w:pos="720"/>
      </w:tabs>
    </w:pPr>
    <w:rPr>
      <w:rFonts w:ascii="Calibri" w:eastAsia="STZhongsong" w:hAnsi="Calibri"/>
      <w:b/>
      <w:bCs/>
    </w:rPr>
  </w:style>
  <w:style w:type="paragraph" w:styleId="ListBullet">
    <w:name w:val="List Bullet"/>
    <w:basedOn w:val="Normal"/>
    <w:pPr>
      <w:numPr>
        <w:ilvl w:val="10"/>
        <w:numId w:val="8"/>
      </w:numPr>
      <w:ind w:left="720" w:hanging="720"/>
    </w:pPr>
  </w:style>
  <w:style w:type="paragraph" w:styleId="TOAHeading">
    <w:name w:val="toa heading"/>
    <w:basedOn w:val="Normal"/>
    <w:next w:val="Normal"/>
    <w:pPr>
      <w:spacing w:before="120"/>
    </w:pPr>
    <w:rPr>
      <w:b/>
    </w:rPr>
  </w:style>
  <w:style w:type="paragraph" w:styleId="ListBullet2">
    <w:name w:val="List Bullet 2"/>
    <w:basedOn w:val="HouseStyleBase"/>
    <w:pPr>
      <w:tabs>
        <w:tab w:val="num" w:pos="1440"/>
      </w:tabs>
    </w:pPr>
  </w:style>
  <w:style w:type="paragraph" w:customStyle="1" w:styleId="HouseStyleBase">
    <w:name w:val="House Style Base"/>
    <w:pPr>
      <w:suppressAutoHyphens/>
      <w:adjustRightInd w:val="0"/>
      <w:spacing w:line="1" w:lineRule="atLeast"/>
      <w:ind w:leftChars="-1" w:left="-1" w:hangingChars="1" w:hanging="1"/>
      <w:textDirection w:val="btLr"/>
      <w:textAlignment w:val="top"/>
      <w:outlineLvl w:val="0"/>
    </w:pPr>
    <w:rPr>
      <w:position w:val="-1"/>
      <w:lang w:eastAsia="zh-CN"/>
    </w:rPr>
  </w:style>
  <w:style w:type="numbering" w:styleId="111111">
    <w:name w:val="Outline List 2"/>
    <w:basedOn w:val="NoList"/>
  </w:style>
  <w:style w:type="paragraph" w:styleId="TOC1">
    <w:name w:val="toc 1"/>
    <w:pPr>
      <w:tabs>
        <w:tab w:val="left" w:pos="720"/>
        <w:tab w:val="right" w:leader="dot" w:pos="9029"/>
      </w:tabs>
      <w:suppressAutoHyphens/>
      <w:adjustRightInd w:val="0"/>
      <w:spacing w:after="120" w:line="1" w:lineRule="atLeast"/>
      <w:ind w:leftChars="-1" w:left="720" w:hangingChars="1" w:hanging="720"/>
      <w:textDirection w:val="btLr"/>
      <w:textAlignment w:val="top"/>
      <w:outlineLvl w:val="0"/>
    </w:pPr>
    <w:rPr>
      <w:caps/>
      <w:position w:val="-1"/>
      <w:lang w:eastAsia="zh-CN"/>
    </w:rPr>
  </w:style>
  <w:style w:type="paragraph" w:styleId="TOC2">
    <w:name w:val="toc 2"/>
    <w:pPr>
      <w:tabs>
        <w:tab w:val="left" w:pos="1440"/>
        <w:tab w:val="right" w:leader="dot" w:pos="9029"/>
      </w:tabs>
      <w:suppressAutoHyphens/>
      <w:adjustRightInd w:val="0"/>
      <w:spacing w:after="120" w:line="1" w:lineRule="atLeast"/>
      <w:ind w:leftChars="-1" w:left="1440" w:hangingChars="1" w:hanging="720"/>
      <w:textDirection w:val="btLr"/>
      <w:textAlignment w:val="top"/>
      <w:outlineLvl w:val="0"/>
    </w:pPr>
    <w:rPr>
      <w:position w:val="-1"/>
      <w:lang w:eastAsia="zh-CN"/>
    </w:rPr>
  </w:style>
  <w:style w:type="paragraph" w:styleId="TOC3">
    <w:name w:val="toc 3"/>
    <w:pPr>
      <w:tabs>
        <w:tab w:val="left" w:pos="2160"/>
        <w:tab w:val="right" w:leader="dot" w:pos="9029"/>
      </w:tabs>
      <w:suppressAutoHyphens/>
      <w:adjustRightInd w:val="0"/>
      <w:spacing w:after="120" w:line="1" w:lineRule="atLeast"/>
      <w:ind w:leftChars="-1" w:left="2160" w:hangingChars="1" w:hanging="720"/>
      <w:textDirection w:val="btLr"/>
      <w:textAlignment w:val="top"/>
      <w:outlineLvl w:val="0"/>
    </w:pPr>
    <w:rPr>
      <w:position w:val="-1"/>
      <w:lang w:eastAsia="zh-CN"/>
    </w:rPr>
  </w:style>
  <w:style w:type="paragraph" w:styleId="TOC4">
    <w:name w:val="toc 4"/>
    <w:pPr>
      <w:tabs>
        <w:tab w:val="left" w:pos="2880"/>
        <w:tab w:val="right" w:leader="dot" w:pos="9029"/>
      </w:tabs>
      <w:suppressAutoHyphens/>
      <w:adjustRightInd w:val="0"/>
      <w:spacing w:after="120" w:line="1" w:lineRule="atLeast"/>
      <w:ind w:leftChars="-1" w:left="2880" w:hangingChars="1" w:hanging="720"/>
      <w:textDirection w:val="btLr"/>
      <w:textAlignment w:val="top"/>
      <w:outlineLvl w:val="0"/>
    </w:pPr>
    <w:rPr>
      <w:position w:val="-1"/>
      <w:lang w:eastAsia="zh-CN"/>
    </w:rPr>
  </w:style>
  <w:style w:type="paragraph" w:styleId="TOC5">
    <w:name w:val="toc 5"/>
    <w:pPr>
      <w:tabs>
        <w:tab w:val="left" w:pos="3600"/>
        <w:tab w:val="right" w:leader="dot" w:pos="9029"/>
      </w:tabs>
      <w:suppressAutoHyphens/>
      <w:adjustRightInd w:val="0"/>
      <w:spacing w:after="120" w:line="1" w:lineRule="atLeast"/>
      <w:ind w:leftChars="-1" w:left="3600" w:hangingChars="1" w:hanging="720"/>
      <w:textDirection w:val="btLr"/>
      <w:textAlignment w:val="top"/>
      <w:outlineLvl w:val="0"/>
    </w:pPr>
    <w:rPr>
      <w:position w:val="-1"/>
      <w:lang w:eastAsia="zh-CN"/>
    </w:rPr>
  </w:style>
  <w:style w:type="paragraph" w:styleId="TOC6">
    <w:name w:val="toc 6"/>
    <w:pPr>
      <w:tabs>
        <w:tab w:val="left" w:pos="4320"/>
        <w:tab w:val="right" w:leader="dot" w:pos="9029"/>
      </w:tabs>
      <w:suppressAutoHyphens/>
      <w:adjustRightInd w:val="0"/>
      <w:spacing w:after="120" w:line="1" w:lineRule="atLeast"/>
      <w:ind w:leftChars="-1" w:left="4320" w:hangingChars="1" w:hanging="720"/>
      <w:textDirection w:val="btLr"/>
      <w:textAlignment w:val="top"/>
      <w:outlineLvl w:val="0"/>
    </w:pPr>
    <w:rPr>
      <w:position w:val="-1"/>
      <w:lang w:eastAsia="zh-CN"/>
    </w:rPr>
  </w:style>
  <w:style w:type="paragraph" w:styleId="TOC7">
    <w:name w:val="toc 7"/>
    <w:pPr>
      <w:tabs>
        <w:tab w:val="left" w:pos="5040"/>
        <w:tab w:val="right" w:leader="dot" w:pos="9029"/>
      </w:tabs>
      <w:suppressAutoHyphens/>
      <w:adjustRightInd w:val="0"/>
      <w:spacing w:after="120" w:line="1" w:lineRule="atLeast"/>
      <w:ind w:leftChars="-1" w:left="5040" w:hangingChars="1" w:hanging="720"/>
      <w:textDirection w:val="btLr"/>
      <w:textAlignment w:val="top"/>
      <w:outlineLvl w:val="0"/>
    </w:pPr>
    <w:rPr>
      <w:position w:val="-1"/>
      <w:lang w:eastAsia="zh-CN"/>
    </w:rPr>
  </w:style>
  <w:style w:type="paragraph" w:styleId="TOC8">
    <w:name w:val="toc 8"/>
    <w:pPr>
      <w:tabs>
        <w:tab w:val="right" w:leader="dot" w:pos="9029"/>
      </w:tabs>
      <w:suppressAutoHyphens/>
      <w:adjustRightInd w:val="0"/>
      <w:spacing w:after="120" w:line="1" w:lineRule="atLeast"/>
      <w:ind w:leftChars="-1" w:left="-1" w:hangingChars="1" w:hanging="1"/>
      <w:textDirection w:val="btLr"/>
      <w:textAlignment w:val="top"/>
      <w:outlineLvl w:val="0"/>
    </w:pPr>
    <w:rPr>
      <w:caps/>
      <w:position w:val="-1"/>
      <w:lang w:eastAsia="zh-CN"/>
    </w:rPr>
  </w:style>
  <w:style w:type="paragraph" w:styleId="TOC9">
    <w:name w:val="toc 9"/>
    <w:pPr>
      <w:tabs>
        <w:tab w:val="right" w:leader="dot" w:pos="9029"/>
      </w:tabs>
      <w:suppressAutoHyphens/>
      <w:adjustRightInd w:val="0"/>
      <w:spacing w:after="120" w:line="1" w:lineRule="atLeast"/>
      <w:ind w:leftChars="-1" w:left="720" w:hangingChars="1" w:hanging="1"/>
      <w:textDirection w:val="btLr"/>
      <w:textAlignment w:val="top"/>
      <w:outlineLvl w:val="0"/>
    </w:pPr>
    <w:rPr>
      <w:position w:val="-1"/>
      <w:lang w:eastAsia="zh-CN"/>
    </w:rPr>
  </w:style>
  <w:style w:type="paragraph" w:customStyle="1" w:styleId="HouseStyleBaseCentred">
    <w:name w:val="House Style Base Centred"/>
    <w:pPr>
      <w:suppressAutoHyphens/>
      <w:adjustRightInd w:val="0"/>
      <w:spacing w:line="1" w:lineRule="atLeast"/>
      <w:ind w:leftChars="-1" w:left="-1" w:hangingChars="1" w:hanging="1"/>
      <w:textDirection w:val="btLr"/>
      <w:textAlignment w:val="top"/>
      <w:outlineLvl w:val="0"/>
    </w:pPr>
    <w:rPr>
      <w:position w:val="-1"/>
      <w:lang w:eastAsia="zh-CN"/>
    </w:rPr>
  </w:style>
  <w:style w:type="paragraph" w:styleId="FootnoteText">
    <w:name w:val="footnote text"/>
    <w:basedOn w:val="HouseStyleBase"/>
    <w:pPr>
      <w:spacing w:after="60"/>
      <w:ind w:left="720" w:hanging="720"/>
    </w:pPr>
    <w:rPr>
      <w:sz w:val="16"/>
    </w:rPr>
  </w:style>
  <w:style w:type="character" w:styleId="FootnoteReference">
    <w:name w:val="footnote reference"/>
    <w:rPr>
      <w:rFonts w:ascii="Times New Roman" w:hAnsi="Times New Roman" w:cs="Times New Roman"/>
      <w:dstrike w:val="0"/>
      <w:snapToGrid/>
      <w:color w:val="auto"/>
      <w:w w:val="100"/>
      <w:kern w:val="0"/>
      <w:position w:val="-1"/>
      <w:sz w:val="22"/>
      <w:u w:val="none"/>
      <w:effect w:val="none"/>
      <w:vertAlign w:val="superscript"/>
      <w:cs w:val="0"/>
      <w:em w:val="none"/>
    </w:rPr>
  </w:style>
  <w:style w:type="paragraph" w:styleId="EndnoteText">
    <w:name w:val="endnote text"/>
    <w:basedOn w:val="HouseStyleBase"/>
    <w:pPr>
      <w:spacing w:after="120"/>
      <w:ind w:left="720" w:hanging="720"/>
    </w:pPr>
    <w:rPr>
      <w:sz w:val="18"/>
    </w:rPr>
  </w:style>
  <w:style w:type="character" w:styleId="EndnoteReference">
    <w:name w:val="endnote reference"/>
    <w:rPr>
      <w:rFonts w:ascii="Times New Roman" w:hAnsi="Times New Roman" w:cs="Times New Roman"/>
      <w:dstrike w:val="0"/>
      <w:snapToGrid/>
      <w:color w:val="auto"/>
      <w:w w:val="100"/>
      <w:kern w:val="0"/>
      <w:position w:val="-1"/>
      <w:sz w:val="22"/>
      <w:u w:val="none"/>
      <w:effect w:val="none"/>
      <w:vertAlign w:val="superscript"/>
      <w:cs w:val="0"/>
      <w:em w:val="none"/>
    </w:rPr>
  </w:style>
  <w:style w:type="table" w:styleId="TableGrid">
    <w:name w:val="Table Grid"/>
    <w:basedOn w:val="TableNormal"/>
    <w:pPr>
      <w:suppressAutoHyphens/>
      <w:overflowPunct w:val="0"/>
      <w:autoSpaceDE w:val="0"/>
      <w:autoSpaceDN w:val="0"/>
      <w:adjustRightInd w:val="0"/>
      <w:spacing w:line="1" w:lineRule="atLeast"/>
      <w:ind w:leftChars="-1" w:left="-1" w:hangingChars="1" w:hanging="1"/>
      <w:textDirection w:val="btLr"/>
      <w:textAlignment w:val="baseline"/>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3"/>
      </w:numPr>
      <w:ind w:left="-1" w:hanging="1"/>
      <w:jc w:val="center"/>
    </w:pPr>
    <w:rPr>
      <w:b/>
      <w:caps/>
    </w:rPr>
  </w:style>
  <w:style w:type="paragraph" w:customStyle="1" w:styleId="RecitalNumbering">
    <w:name w:val="Recital Numbering"/>
    <w:basedOn w:val="HouseStyleBase"/>
    <w:pPr>
      <w:tabs>
        <w:tab w:val="num" w:pos="720"/>
      </w:tabs>
    </w:pPr>
  </w:style>
  <w:style w:type="paragraph" w:customStyle="1" w:styleId="DefinitionNumbering1">
    <w:name w:val="Definition Numbering 1"/>
    <w:basedOn w:val="HouseStyleBase"/>
    <w:pPr>
      <w:numPr>
        <w:ilvl w:val="2"/>
        <w:numId w:val="6"/>
      </w:numPr>
      <w:spacing w:after="120"/>
      <w:ind w:left="-1" w:hanging="1"/>
    </w:pPr>
    <w:rPr>
      <w:rFonts w:ascii="Calibri" w:eastAsia="STZhongsong" w:hAnsi="Calibri"/>
    </w:rPr>
  </w:style>
  <w:style w:type="paragraph" w:customStyle="1" w:styleId="DefinitionNumbering2">
    <w:name w:val="Definition Numbering 2"/>
    <w:basedOn w:val="HouseStyleBase"/>
    <w:pPr>
      <w:numPr>
        <w:ilvl w:val="3"/>
        <w:numId w:val="6"/>
      </w:numPr>
      <w:ind w:left="-1" w:hanging="1"/>
      <w:outlineLvl w:val="1"/>
    </w:pPr>
  </w:style>
  <w:style w:type="paragraph" w:customStyle="1" w:styleId="DefinitionNumbering3">
    <w:name w:val="Definition Numbering 3"/>
    <w:basedOn w:val="HouseStyleBase"/>
    <w:pPr>
      <w:numPr>
        <w:ilvl w:val="4"/>
        <w:numId w:val="6"/>
      </w:numPr>
      <w:ind w:left="-1" w:hanging="1"/>
      <w:outlineLvl w:val="2"/>
    </w:pPr>
  </w:style>
  <w:style w:type="paragraph" w:customStyle="1" w:styleId="DefinitionNumbering4">
    <w:name w:val="Definition Numbering 4"/>
    <w:basedOn w:val="HouseStyleBase"/>
    <w:pPr>
      <w:numPr>
        <w:ilvl w:val="5"/>
        <w:numId w:val="6"/>
      </w:numPr>
      <w:ind w:left="-1" w:hanging="1"/>
      <w:outlineLvl w:val="3"/>
    </w:pPr>
  </w:style>
  <w:style w:type="paragraph" w:customStyle="1" w:styleId="DefinitionNumbering5">
    <w:name w:val="Definition Numbering 5"/>
    <w:basedOn w:val="HouseStyleBase"/>
    <w:pPr>
      <w:numPr>
        <w:ilvl w:val="6"/>
        <w:numId w:val="6"/>
      </w:numPr>
      <w:ind w:left="-1" w:hanging="1"/>
      <w:outlineLvl w:val="4"/>
    </w:pPr>
  </w:style>
  <w:style w:type="paragraph" w:customStyle="1" w:styleId="DefinitionNumbering6">
    <w:name w:val="Definition Numbering 6"/>
    <w:basedOn w:val="HouseStyleBase"/>
    <w:pPr>
      <w:numPr>
        <w:ilvl w:val="7"/>
        <w:numId w:val="6"/>
      </w:numPr>
      <w:ind w:left="-1" w:hanging="1"/>
      <w:outlineLvl w:val="5"/>
    </w:pPr>
  </w:style>
  <w:style w:type="paragraph" w:customStyle="1" w:styleId="DefinitionNumbering7">
    <w:name w:val="Definition Numbering 7"/>
    <w:basedOn w:val="HouseStyleBase"/>
    <w:pPr>
      <w:tabs>
        <w:tab w:val="num" w:pos="6480"/>
      </w:tabs>
      <w:outlineLvl w:val="6"/>
    </w:pPr>
  </w:style>
  <w:style w:type="paragraph" w:customStyle="1" w:styleId="DefinitionNumbering8">
    <w:name w:val="Definition Numbering 8"/>
    <w:basedOn w:val="HouseStyleBase"/>
    <w:pPr>
      <w:tabs>
        <w:tab w:val="num" w:pos="5760"/>
      </w:tabs>
      <w:outlineLvl w:val="7"/>
    </w:pPr>
  </w:style>
  <w:style w:type="paragraph" w:customStyle="1" w:styleId="DefinitionNumbering9">
    <w:name w:val="Definition Numbering 9"/>
    <w:basedOn w:val="HouseStyleBase"/>
    <w:pPr>
      <w:tabs>
        <w:tab w:val="num" w:pos="6480"/>
      </w:tabs>
      <w:outlineLvl w:val="8"/>
    </w:pPr>
  </w:style>
  <w:style w:type="paragraph" w:customStyle="1" w:styleId="ListBullet1">
    <w:name w:val="List Bullet 1"/>
    <w:basedOn w:val="HouseStyleBase"/>
    <w:pPr>
      <w:tabs>
        <w:tab w:val="num" w:pos="720"/>
      </w:tabs>
    </w:pPr>
  </w:style>
  <w:style w:type="paragraph" w:styleId="ListBullet3">
    <w:name w:val="List Bullet 3"/>
    <w:basedOn w:val="HouseStyleBase"/>
    <w:pPr>
      <w:tabs>
        <w:tab w:val="num" w:pos="2160"/>
      </w:tabs>
    </w:pPr>
  </w:style>
  <w:style w:type="paragraph" w:styleId="ListBullet4">
    <w:name w:val="List Bullet 4"/>
    <w:basedOn w:val="HouseStyleBase"/>
    <w:pPr>
      <w:tabs>
        <w:tab w:val="num" w:pos="2880"/>
      </w:tabs>
    </w:pPr>
  </w:style>
  <w:style w:type="paragraph" w:styleId="ListBullet5">
    <w:name w:val="List Bullet 5"/>
    <w:basedOn w:val="HouseStyleBase"/>
    <w:pPr>
      <w:tabs>
        <w:tab w:val="num" w:pos="3600"/>
      </w:tabs>
    </w:pPr>
  </w:style>
  <w:style w:type="paragraph" w:customStyle="1" w:styleId="ListBullet6">
    <w:name w:val="List Bullet 6"/>
    <w:basedOn w:val="HouseStyleBase"/>
    <w:pPr>
      <w:tabs>
        <w:tab w:val="num" w:pos="4320"/>
      </w:tabs>
    </w:pPr>
  </w:style>
  <w:style w:type="paragraph" w:customStyle="1" w:styleId="ListBullet7">
    <w:name w:val="List Bullet 7"/>
    <w:basedOn w:val="HouseStyleBase"/>
    <w:pPr>
      <w:tabs>
        <w:tab w:val="num" w:pos="5040"/>
      </w:tabs>
    </w:pPr>
  </w:style>
  <w:style w:type="paragraph" w:customStyle="1" w:styleId="ListBullet8">
    <w:name w:val="List Bullet 8"/>
    <w:basedOn w:val="HouseStyleBase"/>
    <w:pPr>
      <w:tabs>
        <w:tab w:val="num" w:pos="5760"/>
      </w:tabs>
    </w:pPr>
  </w:style>
  <w:style w:type="paragraph" w:customStyle="1" w:styleId="ListBullet9">
    <w:name w:val="List Bullet 9"/>
    <w:basedOn w:val="HouseStyleBase"/>
    <w:pPr>
      <w:tabs>
        <w:tab w:val="num" w:pos="6480"/>
      </w:tabs>
    </w:pPr>
  </w:style>
  <w:style w:type="paragraph" w:customStyle="1" w:styleId="SchPart">
    <w:name w:val="SchPart"/>
    <w:basedOn w:val="HouseStyleBaseCentred"/>
    <w:next w:val="MarginText"/>
    <w:pPr>
      <w:keepNext/>
      <w:numPr>
        <w:ilvl w:val="1"/>
        <w:numId w:val="5"/>
      </w:numPr>
      <w:ind w:left="-1" w:hanging="1"/>
      <w:jc w:val="center"/>
      <w:outlineLvl w:val="1"/>
    </w:pPr>
    <w:rPr>
      <w:b/>
    </w:rPr>
  </w:style>
  <w:style w:type="paragraph" w:customStyle="1" w:styleId="ScheduleL2">
    <w:name w:val="Schedule L2"/>
    <w:basedOn w:val="HouseStyleBase"/>
    <w:pPr>
      <w:tabs>
        <w:tab w:val="num" w:pos="1440"/>
      </w:tabs>
      <w:outlineLvl w:val="1"/>
    </w:pPr>
    <w:rPr>
      <w:rFonts w:ascii="Calibri" w:eastAsia="STZhongsong" w:hAnsi="Calibri"/>
    </w:rPr>
  </w:style>
  <w:style w:type="paragraph" w:customStyle="1" w:styleId="ScheduleL3">
    <w:name w:val="Schedule L3"/>
    <w:basedOn w:val="HouseStyleBase"/>
    <w:pPr>
      <w:tabs>
        <w:tab w:val="num" w:pos="2160"/>
      </w:tabs>
      <w:outlineLvl w:val="2"/>
    </w:pPr>
    <w:rPr>
      <w:rFonts w:ascii="Calibri" w:eastAsia="STZhongsong" w:hAnsi="Calibri"/>
    </w:rPr>
  </w:style>
  <w:style w:type="paragraph" w:customStyle="1" w:styleId="ScheduleL4">
    <w:name w:val="Schedule L4"/>
    <w:basedOn w:val="HouseStyleBase"/>
    <w:pPr>
      <w:tabs>
        <w:tab w:val="num" w:pos="2880"/>
      </w:tabs>
      <w:outlineLvl w:val="3"/>
    </w:pPr>
  </w:style>
  <w:style w:type="paragraph" w:customStyle="1" w:styleId="ScheduleL5">
    <w:name w:val="Schedule L5"/>
    <w:basedOn w:val="HouseStyleBase"/>
    <w:pPr>
      <w:tabs>
        <w:tab w:val="num" w:pos="3600"/>
      </w:tabs>
      <w:outlineLvl w:val="4"/>
    </w:pPr>
  </w:style>
  <w:style w:type="paragraph" w:customStyle="1" w:styleId="ScheduleL6">
    <w:name w:val="Schedule L6"/>
    <w:basedOn w:val="HouseStyleBase"/>
    <w:pPr>
      <w:tabs>
        <w:tab w:val="num" w:pos="4320"/>
      </w:tabs>
      <w:outlineLvl w:val="5"/>
    </w:pPr>
  </w:style>
  <w:style w:type="paragraph" w:customStyle="1" w:styleId="ScheduleL7">
    <w:name w:val="Schedule L7"/>
    <w:basedOn w:val="HouseStyleBase"/>
    <w:pPr>
      <w:tabs>
        <w:tab w:val="num" w:pos="5040"/>
      </w:tabs>
      <w:outlineLvl w:val="6"/>
    </w:pPr>
  </w:style>
  <w:style w:type="paragraph" w:customStyle="1" w:styleId="ScheduleL8">
    <w:name w:val="Schedule L8"/>
    <w:basedOn w:val="HouseStyleBase"/>
    <w:pPr>
      <w:tabs>
        <w:tab w:val="num" w:pos="5760"/>
      </w:tabs>
      <w:outlineLvl w:val="7"/>
    </w:pPr>
  </w:style>
  <w:style w:type="paragraph" w:customStyle="1" w:styleId="ScheduleL9">
    <w:name w:val="Schedule L9"/>
    <w:basedOn w:val="HouseStyleBase"/>
    <w:pPr>
      <w:tabs>
        <w:tab w:val="num" w:pos="6480"/>
      </w:tabs>
      <w:outlineLvl w:val="8"/>
    </w:pPr>
  </w:style>
  <w:style w:type="paragraph" w:customStyle="1" w:styleId="SchSection">
    <w:name w:val="SchSection"/>
    <w:basedOn w:val="HouseStyleBaseCentred"/>
    <w:next w:val="MarginText"/>
    <w:pPr>
      <w:keepNext/>
      <w:numPr>
        <w:ilvl w:val="2"/>
        <w:numId w:val="5"/>
      </w:numPr>
      <w:ind w:left="-1" w:hanging="1"/>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numPr>
        <w:ilvl w:val="1"/>
        <w:numId w:val="3"/>
      </w:numPr>
      <w:ind w:left="-1" w:hanging="1"/>
      <w:jc w:val="center"/>
      <w:outlineLvl w:val="1"/>
    </w:pPr>
    <w:rPr>
      <w:b/>
    </w:rPr>
  </w:style>
  <w:style w:type="paragraph" w:customStyle="1" w:styleId="RecitalNumbering2">
    <w:name w:val="Recital Numbering 2"/>
    <w:basedOn w:val="HouseStyleBase"/>
    <w:pPr>
      <w:tabs>
        <w:tab w:val="num" w:pos="1440"/>
      </w:tabs>
      <w:overflowPunct w:val="0"/>
      <w:autoSpaceDE w:val="0"/>
      <w:autoSpaceDN w:val="0"/>
      <w:textAlignment w:val="baseline"/>
    </w:pPr>
  </w:style>
  <w:style w:type="paragraph" w:customStyle="1" w:styleId="RecitalNumbering3">
    <w:name w:val="Recital Numbering 3"/>
    <w:basedOn w:val="HouseStyleBase"/>
    <w:pPr>
      <w:tabs>
        <w:tab w:val="num" w:pos="2160"/>
      </w:tabs>
      <w:overflowPunct w:val="0"/>
      <w:autoSpaceDE w:val="0"/>
      <w:autoSpaceDN w:val="0"/>
      <w:textAlignment w:val="baseline"/>
    </w:p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eastAsia="en-US"/>
    </w:rPr>
  </w:style>
  <w:style w:type="paragraph" w:styleId="Bibliography">
    <w:name w:val="Bibliography"/>
    <w:basedOn w:val="Normal"/>
    <w:next w:val="Normal"/>
    <w:qFormat/>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character" w:customStyle="1" w:styleId="BodyText2Char">
    <w:name w:val="Body Text 2 Char"/>
    <w:rPr>
      <w:w w:val="100"/>
      <w:position w:val="-1"/>
      <w:sz w:val="22"/>
      <w:effect w:val="none"/>
      <w:vertAlign w:val="baseline"/>
      <w:cs w:val="0"/>
      <w:em w:val="none"/>
      <w:lang w:eastAsia="en-US"/>
    </w:rPr>
  </w:style>
  <w:style w:type="paragraph" w:styleId="BodyText3">
    <w:name w:val="Body Text 3"/>
    <w:basedOn w:val="Normal"/>
    <w:pPr>
      <w:spacing w:after="120"/>
    </w:pPr>
    <w:rPr>
      <w:sz w:val="16"/>
      <w:szCs w:val="16"/>
    </w:rPr>
  </w:style>
  <w:style w:type="character" w:customStyle="1" w:styleId="BodyText3Char">
    <w:name w:val="Body Text 3 Char"/>
    <w:rPr>
      <w:w w:val="100"/>
      <w:position w:val="-1"/>
      <w:sz w:val="16"/>
      <w:szCs w:val="16"/>
      <w:effect w:val="none"/>
      <w:vertAlign w:val="baseline"/>
      <w:cs w:val="0"/>
      <w:em w:val="none"/>
      <w:lang w:eastAsia="en-US"/>
    </w:rPr>
  </w:style>
  <w:style w:type="paragraph" w:styleId="BodyTextFirstIndent">
    <w:name w:val="Body Text First Indent"/>
    <w:basedOn w:val="BodyText"/>
    <w:pPr>
      <w:ind w:firstLine="210"/>
    </w:pPr>
  </w:style>
  <w:style w:type="character" w:customStyle="1" w:styleId="BodyTextChar">
    <w:name w:val="Body Text Char"/>
    <w:rPr>
      <w:w w:val="100"/>
      <w:position w:val="-1"/>
      <w:sz w:val="22"/>
      <w:effect w:val="none"/>
      <w:vertAlign w:val="baseline"/>
      <w:cs w:val="0"/>
      <w:em w:val="none"/>
      <w:lang w:eastAsia="en-US"/>
    </w:rPr>
  </w:style>
  <w:style w:type="character" w:customStyle="1" w:styleId="BodyTextFirstIndentChar">
    <w:name w:val="Body Text First Indent Char"/>
    <w:basedOn w:val="BodyTextChar"/>
    <w:rPr>
      <w:w w:val="100"/>
      <w:position w:val="-1"/>
      <w:sz w:val="22"/>
      <w:effect w:val="none"/>
      <w:vertAlign w:val="baseline"/>
      <w:cs w:val="0"/>
      <w:em w:val="none"/>
      <w:lang w:eastAsia="en-US"/>
    </w:rPr>
  </w:style>
  <w:style w:type="paragraph" w:styleId="BodyTextFirstIndent2">
    <w:name w:val="Body Text First Indent 2"/>
    <w:basedOn w:val="BodyTextIndent"/>
    <w:pPr>
      <w:numPr>
        <w:numId w:val="0"/>
      </w:numPr>
      <w:overflowPunct w:val="0"/>
      <w:autoSpaceDE w:val="0"/>
      <w:autoSpaceDN w:val="0"/>
      <w:spacing w:after="120" w:line="360" w:lineRule="auto"/>
      <w:ind w:leftChars="-1" w:left="283" w:hangingChars="1" w:hanging="1"/>
      <w:textAlignment w:val="baseline"/>
    </w:pPr>
    <w:rPr>
      <w:rFonts w:eastAsia="Times New Roman"/>
    </w:rPr>
  </w:style>
  <w:style w:type="character" w:customStyle="1" w:styleId="HouseStyleBaseChar">
    <w:name w:val="House Style Base Char"/>
    <w:rPr>
      <w:w w:val="100"/>
      <w:position w:val="-1"/>
      <w:sz w:val="22"/>
      <w:effect w:val="none"/>
      <w:vertAlign w:val="baseline"/>
      <w:cs w:val="0"/>
      <w:em w:val="none"/>
      <w:lang w:eastAsia="zh-CN"/>
    </w:rPr>
  </w:style>
  <w:style w:type="character" w:customStyle="1" w:styleId="BodyTextIndentChar">
    <w:name w:val="Body Text Indent Char"/>
    <w:rPr>
      <w:rFonts w:ascii="Calibri" w:eastAsia="STZhongsong" w:hAnsi="Calibri"/>
      <w:w w:val="100"/>
      <w:position w:val="-1"/>
      <w:sz w:val="22"/>
      <w:effect w:val="none"/>
      <w:vertAlign w:val="baseline"/>
      <w:cs w:val="0"/>
      <w:em w:val="none"/>
      <w:lang w:eastAsia="zh-CN"/>
    </w:rPr>
  </w:style>
  <w:style w:type="character" w:customStyle="1" w:styleId="BodyTextFirstIndent2Char">
    <w:name w:val="Body Text First Indent 2 Char"/>
    <w:rPr>
      <w:w w:val="100"/>
      <w:position w:val="-1"/>
      <w:sz w:val="22"/>
      <w:effect w:val="none"/>
      <w:vertAlign w:val="baseline"/>
      <w:cs w:val="0"/>
      <w:em w:val="none"/>
      <w:lang w:eastAsia="en-US"/>
    </w:rPr>
  </w:style>
  <w:style w:type="character" w:styleId="BookTitle">
    <w:name w:val="Book Title"/>
    <w:rPr>
      <w:b/>
      <w:bCs/>
      <w:smallCaps/>
      <w:spacing w:val="5"/>
      <w:w w:val="100"/>
      <w:position w:val="-1"/>
      <w:effect w:val="none"/>
      <w:vertAlign w:val="baseline"/>
      <w:cs w:val="0"/>
      <w:em w:val="none"/>
    </w:rPr>
  </w:style>
  <w:style w:type="paragraph" w:styleId="Caption">
    <w:name w:val="caption"/>
    <w:basedOn w:val="Normal"/>
    <w:next w:val="Normal"/>
    <w:qFormat/>
    <w:rPr>
      <w:b/>
      <w:bCs/>
      <w:sz w:val="20"/>
    </w:rPr>
  </w:style>
  <w:style w:type="paragraph" w:styleId="Closing">
    <w:name w:val="Closing"/>
    <w:basedOn w:val="Normal"/>
    <w:pPr>
      <w:ind w:left="4252"/>
    </w:pPr>
  </w:style>
  <w:style w:type="character" w:customStyle="1" w:styleId="ClosingChar">
    <w:name w:val="Closing Char"/>
    <w:rPr>
      <w:w w:val="100"/>
      <w:position w:val="-1"/>
      <w:sz w:val="22"/>
      <w:effect w:val="none"/>
      <w:vertAlign w:val="baseline"/>
      <w:cs w:val="0"/>
      <w:em w:val="none"/>
      <w:lang w:eastAsia="en-US"/>
    </w:rPr>
  </w:style>
  <w:style w:type="table" w:styleId="ColorfulGrid">
    <w:name w:val="Colorful Grid"/>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1">
    <w:name w:val="Colorful Grid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2">
    <w:name w:val="Colorful Grid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3">
    <w:name w:val="Colorful Grid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4">
    <w:name w:val="Colorful Grid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5">
    <w:name w:val="Colorful Grid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Grid-Accent6">
    <w:name w:val="Colorful Grid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Pr>
  </w:style>
  <w:style w:type="table" w:styleId="ColorfulList">
    <w:name w:val="Colorful List"/>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1">
    <w:name w:val="Colorful List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2">
    <w:name w:val="Colorful List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3">
    <w:name w:val="Colorful List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4">
    <w:name w:val="Colorful List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5">
    <w:name w:val="Colorful List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List-Accent6">
    <w:name w:val="Colorful List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Pr>
  </w:style>
  <w:style w:type="table" w:styleId="ColorfulShading">
    <w:name w:val="Colorful Shading"/>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style>
  <w:style w:type="table" w:styleId="ColorfulShading-Accent1">
    <w:name w:val="Colorful Shading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style>
  <w:style w:type="table" w:styleId="ColorfulShading-Accent2">
    <w:name w:val="Colorful Shading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style>
  <w:style w:type="table" w:styleId="ColorfulShading-Accent3">
    <w:name w:val="Colorful Shading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style>
  <w:style w:type="table" w:styleId="ColorfulShading-Accent4">
    <w:name w:val="Colorful Shading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style>
  <w:style w:type="table" w:styleId="ColorfulShading-Accent5">
    <w:name w:val="Colorful Shading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style>
  <w:style w:type="table" w:styleId="ColorfulShading-Accent6">
    <w:name w:val="Colorful Shading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rPr>
  </w:style>
  <w:style w:type="character" w:customStyle="1" w:styleId="CommentTextChar">
    <w:name w:val="Comment Text Char"/>
    <w:rPr>
      <w:w w:val="100"/>
      <w:position w:val="-1"/>
      <w:effect w:val="none"/>
      <w:vertAlign w:val="baseline"/>
      <w:cs w:val="0"/>
      <w:em w:val="none"/>
      <w:lang w:eastAsia="en-US"/>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lang w:eastAsia="en-US"/>
    </w:rPr>
  </w:style>
  <w:style w:type="table" w:styleId="DarkList">
    <w:name w:val="Dark List"/>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1">
    <w:name w:val="Dark List Accent 1"/>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2">
    <w:name w:val="Dark List Accent 2"/>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3">
    <w:name w:val="Dark List Accent 3"/>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4">
    <w:name w:val="Dark List Accent 4"/>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5">
    <w:name w:val="Dark List Accent 5"/>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table" w:styleId="DarkList-Accent6">
    <w:name w:val="Dark List Accent 6"/>
    <w:basedOn w:val="TableNormal"/>
    <w:pPr>
      <w:suppressAutoHyphens/>
      <w:spacing w:line="1" w:lineRule="atLeast"/>
      <w:ind w:leftChars="-1" w:left="-1" w:hangingChars="1" w:hanging="1"/>
      <w:textDirection w:val="btLr"/>
      <w:textAlignment w:val="top"/>
      <w:outlineLvl w:val="0"/>
    </w:pPr>
    <w:rPr>
      <w:color w:val="FFFFFF"/>
      <w:position w:val="-1"/>
    </w:rPr>
    <w:tblPr>
      <w:tblStyleRowBandSize w:val="1"/>
      <w:tblStyleColBandSize w:val="1"/>
    </w:tblPr>
  </w:style>
  <w:style w:type="paragraph" w:styleId="Date">
    <w:name w:val="Date"/>
    <w:basedOn w:val="Normal"/>
    <w:next w:val="Normal"/>
  </w:style>
  <w:style w:type="character" w:customStyle="1" w:styleId="DateChar">
    <w:name w:val="Date Char"/>
    <w:rPr>
      <w:w w:val="100"/>
      <w:position w:val="-1"/>
      <w:sz w:val="22"/>
      <w:effect w:val="none"/>
      <w:vertAlign w:val="baseline"/>
      <w:cs w:val="0"/>
      <w:em w:val="none"/>
      <w:lang w:eastAsia="en-US"/>
    </w:rPr>
  </w:style>
  <w:style w:type="paragraph" w:styleId="DocumentMap">
    <w:name w:val="Document Map"/>
    <w:basedOn w:val="Normal"/>
    <w:rPr>
      <w:rFonts w:ascii="Tahoma" w:hAnsi="Tahoma" w:cs="Tahoma"/>
      <w:sz w:val="16"/>
      <w:szCs w:val="16"/>
    </w:rPr>
  </w:style>
  <w:style w:type="character" w:customStyle="1" w:styleId="DocumentMapChar">
    <w:name w:val="Document Map Char"/>
    <w:rPr>
      <w:rFonts w:ascii="Tahoma" w:hAnsi="Tahoma" w:cs="Tahoma"/>
      <w:w w:val="100"/>
      <w:position w:val="-1"/>
      <w:sz w:val="16"/>
      <w:szCs w:val="16"/>
      <w:effect w:val="none"/>
      <w:vertAlign w:val="baseline"/>
      <w:cs w:val="0"/>
      <w:em w:val="none"/>
      <w:lang w:eastAsia="en-US"/>
    </w:rPr>
  </w:style>
  <w:style w:type="paragraph" w:styleId="E-mailSignature">
    <w:name w:val="E-mail Signature"/>
    <w:basedOn w:val="Normal"/>
  </w:style>
  <w:style w:type="character" w:customStyle="1" w:styleId="E-mailSignatureChar">
    <w:name w:val="E-mail Signature Char"/>
    <w:rPr>
      <w:w w:val="100"/>
      <w:position w:val="-1"/>
      <w:sz w:val="22"/>
      <w:effect w:val="none"/>
      <w:vertAlign w:val="baseline"/>
      <w:cs w:val="0"/>
      <w:em w:val="none"/>
      <w:lang w:eastAsia="en-US"/>
    </w:rPr>
  </w:style>
  <w:style w:type="character" w:styleId="Emphasis">
    <w:name w:val="Emphasis"/>
    <w:rPr>
      <w:i/>
      <w:iCs/>
      <w:w w:val="100"/>
      <w:position w:val="-1"/>
      <w:effect w:val="none"/>
      <w:vertAlign w:val="baseline"/>
      <w:cs w:val="0"/>
      <w:em w:val="none"/>
    </w:rPr>
  </w:style>
  <w:style w:type="paragraph" w:styleId="EnvelopeAddress">
    <w:name w:val="envelope address"/>
    <w:basedOn w:val="Normal"/>
    <w:pPr>
      <w:framePr w:w="7920" w:hSpace="180" w:wrap="auto" w:vAnchor="page" w:hAnchor="text" w:xAlign="center" w:yAlign="bottom"/>
      <w:ind w:left="2880"/>
    </w:pPr>
    <w:rPr>
      <w:rFonts w:ascii="Cambria" w:hAnsi="Cambria"/>
      <w:sz w:val="24"/>
      <w:szCs w:val="24"/>
    </w:rPr>
  </w:style>
  <w:style w:type="paragraph" w:styleId="EnvelopeReturn">
    <w:name w:val="envelope return"/>
    <w:basedOn w:val="Normal"/>
    <w:rPr>
      <w:rFonts w:ascii="Cambria" w:hAnsi="Cambria"/>
      <w:sz w:val="20"/>
    </w:rPr>
  </w:style>
  <w:style w:type="character" w:styleId="FollowedHyperlink">
    <w:name w:val="FollowedHyperlink"/>
    <w:rPr>
      <w:color w:val="800080"/>
      <w:w w:val="100"/>
      <w:position w:val="-1"/>
      <w:u w:val="single"/>
      <w:effect w:val="none"/>
      <w:vertAlign w:val="baseline"/>
      <w:cs w:val="0"/>
      <w:em w:val="none"/>
    </w:rPr>
  </w:style>
  <w:style w:type="character" w:styleId="HTMLAcronym">
    <w:name w:val="HTML Acronym"/>
    <w:rPr>
      <w:w w:val="100"/>
      <w:position w:val="-1"/>
      <w:effect w:val="none"/>
      <w:vertAlign w:val="baseline"/>
      <w:cs w:val="0"/>
      <w:em w:val="none"/>
    </w:rPr>
  </w:style>
  <w:style w:type="paragraph" w:styleId="HTMLAddress">
    <w:name w:val="HTML Address"/>
    <w:basedOn w:val="Normal"/>
    <w:rPr>
      <w:i/>
      <w:iCs/>
    </w:rPr>
  </w:style>
  <w:style w:type="character" w:customStyle="1" w:styleId="HTMLAddressChar">
    <w:name w:val="HTML Address Char"/>
    <w:rPr>
      <w:i/>
      <w:iCs/>
      <w:w w:val="100"/>
      <w:position w:val="-1"/>
      <w:sz w:val="22"/>
      <w:effect w:val="none"/>
      <w:vertAlign w:val="baseline"/>
      <w:cs w:val="0"/>
      <w:em w:val="none"/>
      <w:lang w:eastAsia="en-US"/>
    </w:rPr>
  </w:style>
  <w:style w:type="character" w:styleId="HTMLCite">
    <w:name w:val="HTML Cite"/>
    <w:rPr>
      <w:i/>
      <w:iCs/>
      <w:w w:val="100"/>
      <w:position w:val="-1"/>
      <w:effect w:val="none"/>
      <w:vertAlign w:val="baseline"/>
      <w:cs w:val="0"/>
      <w:em w:val="none"/>
    </w:rPr>
  </w:style>
  <w:style w:type="character" w:styleId="HTMLCode">
    <w:name w:val="HTML Code"/>
    <w:rPr>
      <w:rFonts w:ascii="Courier New" w:hAnsi="Courier New" w:cs="Courier New"/>
      <w:w w:val="100"/>
      <w:position w:val="-1"/>
      <w:sz w:val="20"/>
      <w:szCs w:val="20"/>
      <w:effect w:val="none"/>
      <w:vertAlign w:val="baseline"/>
      <w:cs w:val="0"/>
      <w:em w:val="none"/>
    </w:rPr>
  </w:style>
  <w:style w:type="character" w:styleId="HTMLDefinition">
    <w:name w:val="HTML Definition"/>
    <w:rPr>
      <w:i/>
      <w:iCs/>
      <w:w w:val="100"/>
      <w:position w:val="-1"/>
      <w:effect w:val="none"/>
      <w:vertAlign w:val="baseline"/>
      <w:cs w:val="0"/>
      <w:em w:val="none"/>
    </w:rPr>
  </w:style>
  <w:style w:type="character" w:styleId="HTMLKeyboard">
    <w:name w:val="HTML Keyboard"/>
    <w:rPr>
      <w:rFonts w:ascii="Courier New" w:hAnsi="Courier New" w:cs="Courier New"/>
      <w:w w:val="100"/>
      <w:position w:val="-1"/>
      <w:sz w:val="20"/>
      <w:szCs w:val="20"/>
      <w:effect w:val="none"/>
      <w:vertAlign w:val="baseline"/>
      <w:cs w:val="0"/>
      <w:em w:val="none"/>
    </w:rPr>
  </w:style>
  <w:style w:type="paragraph" w:styleId="HTMLPreformatted">
    <w:name w:val="HTML Preformatted"/>
    <w:basedOn w:val="Normal"/>
    <w:rPr>
      <w:rFonts w:ascii="Courier New" w:hAnsi="Courier New" w:cs="Courier New"/>
      <w:sz w:val="20"/>
    </w:rPr>
  </w:style>
  <w:style w:type="character" w:customStyle="1" w:styleId="HTMLPreformattedChar">
    <w:name w:val="HTML Preformatted Char"/>
    <w:rPr>
      <w:rFonts w:ascii="Courier New" w:hAnsi="Courier New" w:cs="Courier New"/>
      <w:w w:val="100"/>
      <w:position w:val="-1"/>
      <w:effect w:val="none"/>
      <w:vertAlign w:val="baseline"/>
      <w:cs w:val="0"/>
      <w:em w:val="none"/>
      <w:lang w:eastAsia="en-US"/>
    </w:rPr>
  </w:style>
  <w:style w:type="character" w:styleId="HTMLSample">
    <w:name w:val="HTML Sample"/>
    <w:rPr>
      <w:rFonts w:ascii="Courier New" w:hAnsi="Courier New" w:cs="Courier New"/>
      <w:w w:val="100"/>
      <w:position w:val="-1"/>
      <w:effect w:val="none"/>
      <w:vertAlign w:val="baseline"/>
      <w:cs w:val="0"/>
      <w:em w:val="none"/>
    </w:rPr>
  </w:style>
  <w:style w:type="character" w:styleId="HTMLTypewriter">
    <w:name w:val="HTML Typewriter"/>
    <w:rPr>
      <w:rFonts w:ascii="Courier New" w:hAnsi="Courier New" w:cs="Courier New"/>
      <w:w w:val="100"/>
      <w:position w:val="-1"/>
      <w:sz w:val="20"/>
      <w:szCs w:val="20"/>
      <w:effect w:val="none"/>
      <w:vertAlign w:val="baseline"/>
      <w:cs w:val="0"/>
      <w:em w:val="none"/>
    </w:rPr>
  </w:style>
  <w:style w:type="character" w:styleId="HTMLVariable">
    <w:name w:val="HTML Variable"/>
    <w:rPr>
      <w:i/>
      <w:iCs/>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Index1">
    <w:name w:val="index 1"/>
    <w:basedOn w:val="Normal"/>
    <w:next w:val="Normal"/>
    <w:pPr>
      <w:ind w:left="220" w:hanging="220"/>
    </w:pPr>
  </w:style>
  <w:style w:type="paragraph" w:styleId="Index2">
    <w:name w:val="index 2"/>
    <w:basedOn w:val="Normal"/>
    <w:next w:val="Normal"/>
    <w:pPr>
      <w:ind w:left="440" w:hanging="220"/>
    </w:pPr>
  </w:style>
  <w:style w:type="paragraph" w:styleId="Index3">
    <w:name w:val="index 3"/>
    <w:basedOn w:val="Normal"/>
    <w:next w:val="Normal"/>
    <w:pPr>
      <w:ind w:left="660" w:hanging="220"/>
    </w:pPr>
  </w:style>
  <w:style w:type="paragraph" w:styleId="Index4">
    <w:name w:val="index 4"/>
    <w:basedOn w:val="Normal"/>
    <w:next w:val="Normal"/>
    <w:pPr>
      <w:ind w:left="880" w:hanging="220"/>
    </w:pPr>
  </w:style>
  <w:style w:type="paragraph" w:styleId="Index5">
    <w:name w:val="index 5"/>
    <w:basedOn w:val="Normal"/>
    <w:next w:val="Normal"/>
    <w:pPr>
      <w:ind w:left="1100" w:hanging="220"/>
    </w:pPr>
  </w:style>
  <w:style w:type="paragraph" w:styleId="Index6">
    <w:name w:val="index 6"/>
    <w:basedOn w:val="Normal"/>
    <w:next w:val="Normal"/>
    <w:pPr>
      <w:ind w:left="1320" w:hanging="220"/>
    </w:pPr>
  </w:style>
  <w:style w:type="paragraph" w:styleId="Index7">
    <w:name w:val="index 7"/>
    <w:basedOn w:val="Normal"/>
    <w:next w:val="Normal"/>
    <w:pPr>
      <w:ind w:left="1540" w:hanging="220"/>
    </w:pPr>
  </w:style>
  <w:style w:type="paragraph" w:styleId="Index8">
    <w:name w:val="index 8"/>
    <w:basedOn w:val="Normal"/>
    <w:next w:val="Normal"/>
    <w:pPr>
      <w:ind w:left="1760" w:hanging="220"/>
    </w:pPr>
  </w:style>
  <w:style w:type="paragraph" w:styleId="Index9">
    <w:name w:val="index 9"/>
    <w:basedOn w:val="Normal"/>
    <w:next w:val="Normal"/>
    <w:pPr>
      <w:ind w:left="1980" w:hanging="220"/>
    </w:pPr>
  </w:style>
  <w:style w:type="paragraph" w:styleId="IndexHeading">
    <w:name w:val="index heading"/>
    <w:basedOn w:val="Normal"/>
    <w:next w:val="Index1"/>
    <w:rPr>
      <w:rFonts w:ascii="Cambria" w:hAnsi="Cambria"/>
      <w:b/>
      <w:bCs/>
    </w:rPr>
  </w:style>
  <w:style w:type="character" w:styleId="IntenseEmphasis">
    <w:name w:val="Intense Emphasis"/>
    <w:rPr>
      <w:b/>
      <w:bCs/>
      <w:i/>
      <w:iCs/>
      <w:color w:val="4F81BD"/>
      <w:w w:val="100"/>
      <w:position w:val="-1"/>
      <w:effect w:val="none"/>
      <w:vertAlign w:val="baseline"/>
      <w:cs w:val="0"/>
      <w:em w:val="none"/>
    </w:rPr>
  </w:style>
  <w:style w:type="paragraph" w:styleId="IntenseQuote">
    <w:name w:val="Intense Quote"/>
    <w:basedOn w:val="Normal"/>
    <w:next w:val="Normal"/>
    <w:pPr>
      <w:pBdr>
        <w:bottom w:val="single" w:sz="4" w:space="4" w:color="4F81BD"/>
      </w:pBdr>
      <w:spacing w:before="200" w:after="280"/>
      <w:ind w:left="936" w:right="936"/>
    </w:pPr>
    <w:rPr>
      <w:b/>
      <w:bCs/>
      <w:i/>
      <w:iCs/>
      <w:color w:val="4F81BD"/>
    </w:rPr>
  </w:style>
  <w:style w:type="character" w:customStyle="1" w:styleId="IntenseQuoteChar">
    <w:name w:val="Intense Quote Char"/>
    <w:rPr>
      <w:b/>
      <w:bCs/>
      <w:i/>
      <w:iCs/>
      <w:color w:val="4F81BD"/>
      <w:w w:val="100"/>
      <w:position w:val="-1"/>
      <w:sz w:val="22"/>
      <w:effect w:val="none"/>
      <w:vertAlign w:val="baseline"/>
      <w:cs w:val="0"/>
      <w:em w:val="none"/>
      <w:lang w:eastAsia="en-US"/>
    </w:rPr>
  </w:style>
  <w:style w:type="character" w:styleId="IntenseReference">
    <w:name w:val="Intense Reference"/>
    <w:rPr>
      <w:b/>
      <w:bCs/>
      <w:smallCaps/>
      <w:color w:val="C0504D"/>
      <w:spacing w:val="5"/>
      <w:w w:val="100"/>
      <w:position w:val="-1"/>
      <w:u w:val="single"/>
      <w:effect w:val="none"/>
      <w:vertAlign w:val="baseline"/>
      <w:cs w:val="0"/>
      <w:em w:val="none"/>
    </w:rPr>
  </w:style>
  <w:style w:type="table" w:styleId="LightGrid">
    <w:name w:val="Light Grid"/>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styleId="LightGrid-Accent1">
    <w:name w:val="Light Grid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styleId="LightGrid-Accent3">
    <w:name w:val="Light Grid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style>
  <w:style w:type="table" w:styleId="LightGrid-Accent4">
    <w:name w:val="Light Grid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style>
  <w:style w:type="table" w:styleId="LightGrid-Accent5">
    <w:name w:val="Light Grid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style>
  <w:style w:type="table" w:styleId="LightGrid-Accent6">
    <w:name w:val="Light Grid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style>
  <w:style w:type="table" w:styleId="LightList">
    <w:name w:val="Light List"/>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styleId="LightList-Accent1">
    <w:name w:val="Light List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styleId="LightList-Accent2">
    <w:name w:val="Light List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styleId="LightList-Accent3">
    <w:name w:val="Light List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BBB59"/>
        <w:left w:val="single" w:sz="8" w:space="0" w:color="9BBB59"/>
        <w:bottom w:val="single" w:sz="8" w:space="0" w:color="9BBB59"/>
        <w:right w:val="single" w:sz="8" w:space="0" w:color="9BBB59"/>
      </w:tblBorders>
    </w:tblPr>
  </w:style>
  <w:style w:type="table" w:styleId="LightList-Accent4">
    <w:name w:val="Light List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table" w:styleId="LightList-Accent5">
    <w:name w:val="Light List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BACC6"/>
        <w:left w:val="single" w:sz="8" w:space="0" w:color="4BACC6"/>
        <w:bottom w:val="single" w:sz="8" w:space="0" w:color="4BACC6"/>
        <w:right w:val="single" w:sz="8" w:space="0" w:color="4BACC6"/>
      </w:tblBorders>
    </w:tblPr>
  </w:style>
  <w:style w:type="table" w:styleId="LightList-Accent6">
    <w:name w:val="Light List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79646"/>
        <w:left w:val="single" w:sz="8" w:space="0" w:color="F79646"/>
        <w:bottom w:val="single" w:sz="8" w:space="0" w:color="F79646"/>
        <w:right w:val="single" w:sz="8" w:space="0" w:color="F79646"/>
      </w:tblBorders>
    </w:tblPr>
  </w:style>
  <w:style w:type="table" w:styleId="LightShading">
    <w:name w:val="Light Shading"/>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LightShading-Accent1">
    <w:name w:val="Light Shading Accent 1"/>
    <w:basedOn w:val="TableNormal"/>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Borders>
        <w:top w:val="single" w:sz="8" w:space="0" w:color="4F81BD"/>
        <w:bottom w:val="single" w:sz="8" w:space="0" w:color="4F81BD"/>
      </w:tblBorders>
    </w:tbl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Borders>
        <w:top w:val="single" w:sz="8" w:space="0" w:color="C0504D"/>
        <w:bottom w:val="single" w:sz="8" w:space="0" w:color="C0504D"/>
      </w:tblBorders>
    </w:tblPr>
  </w:style>
  <w:style w:type="table" w:styleId="LightShading-Accent3">
    <w:name w:val="Light Shading Accent 3"/>
    <w:basedOn w:val="TableNormal"/>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Borders>
        <w:top w:val="single" w:sz="8" w:space="0" w:color="9BBB59"/>
        <w:bottom w:val="single" w:sz="8" w:space="0" w:color="9BBB59"/>
      </w:tblBorders>
    </w:tblPr>
  </w:style>
  <w:style w:type="table" w:styleId="LightShading-Accent4">
    <w:name w:val="Light Shading Accent 4"/>
    <w:basedOn w:val="TableNormal"/>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Borders>
        <w:top w:val="single" w:sz="8" w:space="0" w:color="8064A2"/>
        <w:bottom w:val="single" w:sz="8" w:space="0" w:color="8064A2"/>
      </w:tblBorders>
    </w:tblPr>
  </w:style>
  <w:style w:type="table" w:styleId="LightShading-Accent5">
    <w:name w:val="Light Shading Accent 5"/>
    <w:basedOn w:val="TableNormal"/>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Borders>
        <w:top w:val="single" w:sz="8" w:space="0" w:color="4BACC6"/>
        <w:bottom w:val="single" w:sz="8" w:space="0" w:color="4BACC6"/>
      </w:tblBorders>
    </w:tblPr>
  </w:style>
  <w:style w:type="table" w:styleId="LightShading-Accent6">
    <w:name w:val="Light Shading Accent 6"/>
    <w:basedOn w:val="TableNormal"/>
    <w:pPr>
      <w:suppressAutoHyphens/>
      <w:spacing w:line="1" w:lineRule="atLeast"/>
      <w:ind w:leftChars="-1" w:left="-1" w:hangingChars="1" w:hanging="1"/>
      <w:textDirection w:val="btLr"/>
      <w:textAlignment w:val="top"/>
      <w:outlineLvl w:val="0"/>
    </w:pPr>
    <w:rPr>
      <w:color w:val="E36C0A"/>
      <w:position w:val="-1"/>
    </w:rPr>
    <w:tblPr>
      <w:tblStyleRowBandSize w:val="1"/>
      <w:tblStyleColBandSize w:val="1"/>
      <w:tblBorders>
        <w:top w:val="single" w:sz="8" w:space="0" w:color="F79646"/>
        <w:bottom w:val="single" w:sz="8" w:space="0" w:color="F79646"/>
      </w:tblBorders>
    </w:tblPr>
  </w:style>
  <w:style w:type="character" w:styleId="LineNumber">
    <w:name w:val="line number"/>
    <w:rPr>
      <w:w w:val="100"/>
      <w:position w:val="-1"/>
      <w:effect w:val="none"/>
      <w:vertAlign w:val="baseline"/>
      <w:cs w:val="0"/>
      <w:em w:val="none"/>
    </w:rP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tabs>
        <w:tab w:val="num" w:pos="720"/>
      </w:tabs>
      <w:contextualSpacing/>
    </w:pPr>
  </w:style>
  <w:style w:type="paragraph" w:styleId="ListNumber2">
    <w:name w:val="List Number 2"/>
    <w:basedOn w:val="Normal"/>
    <w:pPr>
      <w:tabs>
        <w:tab w:val="num" w:pos="720"/>
      </w:tabs>
      <w:contextualSpacing/>
    </w:pPr>
  </w:style>
  <w:style w:type="paragraph" w:styleId="ListNumber3">
    <w:name w:val="List Number 3"/>
    <w:basedOn w:val="Normal"/>
    <w:pPr>
      <w:tabs>
        <w:tab w:val="num" w:pos="720"/>
      </w:tabs>
      <w:contextualSpacing/>
    </w:pPr>
  </w:style>
  <w:style w:type="paragraph" w:styleId="ListNumber4">
    <w:name w:val="List Number 4"/>
    <w:basedOn w:val="Normal"/>
    <w:pPr>
      <w:tabs>
        <w:tab w:val="num" w:pos="720"/>
      </w:tabs>
      <w:contextualSpacing/>
    </w:pPr>
  </w:style>
  <w:style w:type="paragraph" w:styleId="ListNumber5">
    <w:name w:val="List Number 5"/>
    <w:basedOn w:val="Normal"/>
    <w:pPr>
      <w:tabs>
        <w:tab w:val="num" w:pos="720"/>
      </w:tabs>
      <w:contextualSpacing/>
    </w:pPr>
  </w:style>
  <w:style w:type="paragraph" w:styleId="ListParagraph">
    <w:name w:val="List Paragraph"/>
    <w:basedOn w:val="Normal"/>
    <w:pPr>
      <w:ind w:left="720"/>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autoSpaceDN w:val="0"/>
      <w:adjustRightInd w:val="0"/>
      <w:ind w:leftChars="-1" w:left="-1" w:hangingChars="1" w:hanging="1"/>
      <w:textDirection w:val="btLr"/>
      <w:textAlignment w:val="baseline"/>
      <w:outlineLvl w:val="0"/>
    </w:pPr>
    <w:rPr>
      <w:rFonts w:ascii="Courier New" w:hAnsi="Courier New" w:cs="Courier New"/>
      <w:position w:val="-1"/>
      <w:lang w:eastAsia="en-US"/>
    </w:rPr>
  </w:style>
  <w:style w:type="character" w:customStyle="1" w:styleId="MacroTextChar">
    <w:name w:val="Macro Text Char"/>
    <w:rPr>
      <w:rFonts w:ascii="Courier New" w:hAnsi="Courier New" w:cs="Courier New"/>
      <w:w w:val="100"/>
      <w:position w:val="-1"/>
      <w:effect w:val="none"/>
      <w:vertAlign w:val="baseline"/>
      <w:cs w:val="0"/>
      <w:em w:val="none"/>
      <w:lang w:eastAsia="en-US"/>
    </w:rPr>
  </w:style>
  <w:style w:type="table" w:styleId="MediumGrid1">
    <w:name w:val="Medium Grid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table" w:styleId="MediumGrid1-Accent2">
    <w:name w:val="Medium Grid 1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style>
  <w:style w:type="table" w:styleId="MediumGrid1-Accent3">
    <w:name w:val="Medium Grid 1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style>
  <w:style w:type="table" w:styleId="MediumGrid1-Accent4">
    <w:name w:val="Medium Grid 1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style>
  <w:style w:type="table" w:styleId="MediumGrid1-Accent5">
    <w:name w:val="Medium Grid 1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style>
  <w:style w:type="table" w:styleId="MediumGrid1-Accent6">
    <w:name w:val="Medium Grid 1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style>
  <w:style w:type="table" w:styleId="MediumGrid2">
    <w:name w:val="Medium Grid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styleId="MediumGrid2-Accent2">
    <w:name w:val="Medium Grid 2 Accent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styleId="MediumGrid2-Accent3">
    <w:name w:val="Medium Grid 2 Accent 3"/>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style>
  <w:style w:type="table" w:styleId="MediumGrid2-Accent4">
    <w:name w:val="Medium Grid 2 Accent 4"/>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style>
  <w:style w:type="table" w:styleId="MediumGrid2-Accent5">
    <w:name w:val="Medium Grid 2 Accent 5"/>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style>
  <w:style w:type="table" w:styleId="MediumGrid2-Accent6">
    <w:name w:val="Medium Grid 2 Accent 6"/>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style>
  <w:style w:type="table" w:styleId="MediumGrid3">
    <w:name w:val="Medium Grid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1">
    <w:name w:val="Medium Grid 3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2">
    <w:name w:val="Medium Grid 3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3">
    <w:name w:val="Medium Grid 3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4">
    <w:name w:val="Medium Grid 3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5">
    <w:name w:val="Medium Grid 3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Grid3-Accent6">
    <w:name w:val="Medium Grid 3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styleId="MediumList1">
    <w:name w:val="Medium Lis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Pr>
  </w:style>
  <w:style w:type="table" w:styleId="MediumList1-Accent1">
    <w:name w:val="Medium List 1 Accent 1"/>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4F81BD"/>
        <w:bottom w:val="single" w:sz="8" w:space="0" w:color="4F81BD"/>
      </w:tblBorders>
    </w:tblPr>
  </w:style>
  <w:style w:type="table" w:styleId="MediumList1-Accent2">
    <w:name w:val="Medium List 1 Accent 2"/>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C0504D"/>
        <w:bottom w:val="single" w:sz="8" w:space="0" w:color="C0504D"/>
      </w:tblBorders>
    </w:tblPr>
  </w:style>
  <w:style w:type="table" w:styleId="MediumList1-Accent3">
    <w:name w:val="Medium List 1 Accent 3"/>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9BBB59"/>
        <w:bottom w:val="single" w:sz="8" w:space="0" w:color="9BBB59"/>
      </w:tblBorders>
    </w:tblPr>
  </w:style>
  <w:style w:type="table" w:styleId="MediumList1-Accent4">
    <w:name w:val="Medium List 1 Accent 4"/>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8064A2"/>
        <w:bottom w:val="single" w:sz="8" w:space="0" w:color="8064A2"/>
      </w:tblBorders>
    </w:tblPr>
  </w:style>
  <w:style w:type="table" w:styleId="MediumList1-Accent5">
    <w:name w:val="Medium List 1 Accent 5"/>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4BACC6"/>
        <w:bottom w:val="single" w:sz="8" w:space="0" w:color="4BACC6"/>
      </w:tblBorders>
    </w:tblPr>
  </w:style>
  <w:style w:type="table" w:styleId="MediumList1-Accent6">
    <w:name w:val="Medium List 1 Accent 6"/>
    <w:basedOn w:val="TableNormal"/>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F79646"/>
        <w:bottom w:val="single" w:sz="8" w:space="0" w:color="F79646"/>
      </w:tblBorders>
    </w:tblPr>
  </w:style>
  <w:style w:type="table" w:styleId="MediumList2">
    <w:name w:val="Medium List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styleId="MediumList2-Accent1">
    <w:name w:val="Medium List 2 Accent 1"/>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styleId="MediumList2-Accent2">
    <w:name w:val="Medium List 2 Accent 2"/>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C0504D"/>
        <w:left w:val="single" w:sz="8" w:space="0" w:color="C0504D"/>
        <w:bottom w:val="single" w:sz="8" w:space="0" w:color="C0504D"/>
        <w:right w:val="single" w:sz="8" w:space="0" w:color="C0504D"/>
      </w:tblBorders>
    </w:tblPr>
  </w:style>
  <w:style w:type="table" w:styleId="MediumList2-Accent3">
    <w:name w:val="Medium List 2 Accent 3"/>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9BBB59"/>
        <w:left w:val="single" w:sz="8" w:space="0" w:color="9BBB59"/>
        <w:bottom w:val="single" w:sz="8" w:space="0" w:color="9BBB59"/>
        <w:right w:val="single" w:sz="8" w:space="0" w:color="9BBB59"/>
      </w:tblBorders>
    </w:tblPr>
  </w:style>
  <w:style w:type="table" w:styleId="MediumList2-Accent4">
    <w:name w:val="Medium List 2 Accent 4"/>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table" w:styleId="MediumList2-Accent5">
    <w:name w:val="Medium List 2 Accent 5"/>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4BACC6"/>
        <w:left w:val="single" w:sz="8" w:space="0" w:color="4BACC6"/>
        <w:bottom w:val="single" w:sz="8" w:space="0" w:color="4BACC6"/>
        <w:right w:val="single" w:sz="8" w:space="0" w:color="4BACC6"/>
      </w:tblBorders>
    </w:tblPr>
  </w:style>
  <w:style w:type="table" w:styleId="MediumList2-Accent6">
    <w:name w:val="Medium List 2 Accent 6"/>
    <w:basedOn w:val="TableNormal"/>
    <w:pPr>
      <w:suppressAutoHyphens/>
      <w:spacing w:line="1" w:lineRule="atLeast"/>
      <w:ind w:leftChars="-1" w:left="-1" w:hangingChars="1" w:hanging="1"/>
      <w:textDirection w:val="btLr"/>
      <w:textAlignment w:val="top"/>
      <w:outlineLvl w:val="0"/>
    </w:pPr>
    <w:rPr>
      <w:rFonts w:ascii="Cambria" w:hAnsi="Cambria"/>
      <w:color w:val="000000"/>
      <w:position w:val="-1"/>
    </w:rPr>
    <w:tblPr>
      <w:tblStyleRowBandSize w:val="1"/>
      <w:tblStyleColBandSize w:val="1"/>
      <w:tblBorders>
        <w:top w:val="single" w:sz="8" w:space="0" w:color="F79646"/>
        <w:left w:val="single" w:sz="8" w:space="0" w:color="F79646"/>
        <w:bottom w:val="single" w:sz="8" w:space="0" w:color="F79646"/>
        <w:right w:val="single" w:sz="8" w:space="0" w:color="F79646"/>
      </w:tblBorders>
    </w:tblPr>
  </w:style>
  <w:style w:type="table" w:styleId="MediumShading1">
    <w:name w:val="Medium Shading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style>
  <w:style w:type="table" w:styleId="MediumShading1-Accent1">
    <w:name w:val="Medium Shading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MediumShading1-Accent3">
    <w:name w:val="Medium Shading 1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style>
  <w:style w:type="table" w:styleId="MediumShading1-Accent4">
    <w:name w:val="Medium Shading 1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style>
  <w:style w:type="table" w:styleId="MediumShading1-Accent5">
    <w:name w:val="Medium Shading 1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style>
  <w:style w:type="table" w:styleId="MediumShading1-Accent6">
    <w:name w:val="Medium Shading 1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style>
  <w:style w:type="table" w:styleId="MediumShading2">
    <w:name w:val="Medium Shading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1">
    <w:name w:val="Medium Shading 2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2">
    <w:name w:val="Medium Shading 2 Accent 2"/>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3">
    <w:name w:val="Medium Shading 2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4">
    <w:name w:val="Medium Shading 2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5">
    <w:name w:val="Medium Shading 2 Accent 5"/>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table" w:styleId="MediumShading2-Accent6">
    <w:name w:val="Medium Shading 2 Accent 6"/>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18" w:space="0" w:color="auto"/>
        <w:bottom w:val="single" w:sz="18" w:space="0" w:color="auto"/>
      </w:tblBorders>
    </w:tbl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MessageHeaderChar">
    <w:name w:val="Message Header Char"/>
    <w:rPr>
      <w:rFonts w:ascii="Cambria" w:eastAsia="Times New Roman" w:hAnsi="Cambria" w:cs="Times New Roman"/>
      <w:w w:val="100"/>
      <w:position w:val="-1"/>
      <w:sz w:val="24"/>
      <w:szCs w:val="24"/>
      <w:effect w:val="none"/>
      <w:shd w:val="pct20" w:color="auto" w:fill="auto"/>
      <w:vertAlign w:val="baseline"/>
      <w:cs w:val="0"/>
      <w:em w:val="none"/>
      <w:lang w:eastAsia="en-US"/>
    </w:rPr>
  </w:style>
  <w:style w:type="paragraph" w:styleId="NoSpacing">
    <w:name w:val="No Spacing"/>
    <w:pPr>
      <w:suppressAutoHyphens/>
      <w:overflowPunct w:val="0"/>
      <w:autoSpaceDE w:val="0"/>
      <w:autoSpaceDN w:val="0"/>
      <w:adjustRightInd w:val="0"/>
      <w:spacing w:line="1" w:lineRule="atLeast"/>
      <w:ind w:leftChars="-1" w:left="-1" w:hangingChars="1" w:hanging="1"/>
      <w:textDirection w:val="btLr"/>
      <w:textAlignment w:val="baseline"/>
      <w:outlineLvl w:val="0"/>
    </w:pPr>
    <w:rPr>
      <w:position w:val="-1"/>
      <w:lang w:eastAsia="en-US"/>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customStyle="1" w:styleId="NoteHeadingChar">
    <w:name w:val="Note Heading Char"/>
    <w:rPr>
      <w:w w:val="100"/>
      <w:position w:val="-1"/>
      <w:sz w:val="22"/>
      <w:effect w:val="none"/>
      <w:vertAlign w:val="baseline"/>
      <w:cs w:val="0"/>
      <w:em w:val="none"/>
      <w:lang w:eastAsia="en-US"/>
    </w:rPr>
  </w:style>
  <w:style w:type="character" w:styleId="PlaceholderText">
    <w:name w:val="Placeholder Text"/>
    <w:rPr>
      <w:color w:val="808080"/>
      <w:w w:val="100"/>
      <w:position w:val="-1"/>
      <w:effect w:val="none"/>
      <w:vertAlign w:val="baseline"/>
      <w:cs w:val="0"/>
      <w:em w:val="none"/>
    </w:rPr>
  </w:style>
  <w:style w:type="paragraph" w:styleId="PlainText">
    <w:name w:val="Plain Text"/>
    <w:basedOn w:val="Normal"/>
    <w:rPr>
      <w:rFonts w:ascii="Courier New" w:hAnsi="Courier New" w:cs="Courier New"/>
      <w:sz w:val="20"/>
    </w:rPr>
  </w:style>
  <w:style w:type="character" w:customStyle="1" w:styleId="PlainTextChar">
    <w:name w:val="Plain Text Char"/>
    <w:rPr>
      <w:rFonts w:ascii="Courier New" w:hAnsi="Courier New" w:cs="Courier New"/>
      <w:w w:val="100"/>
      <w:position w:val="-1"/>
      <w:effect w:val="none"/>
      <w:vertAlign w:val="baseline"/>
      <w:cs w:val="0"/>
      <w:em w:val="none"/>
      <w:lang w:eastAsia="en-US"/>
    </w:rPr>
  </w:style>
  <w:style w:type="paragraph" w:styleId="Quote">
    <w:name w:val="Quote"/>
    <w:basedOn w:val="Normal"/>
    <w:next w:val="Normal"/>
    <w:rPr>
      <w:i/>
      <w:iCs/>
      <w:color w:val="000000"/>
    </w:rPr>
  </w:style>
  <w:style w:type="character" w:customStyle="1" w:styleId="QuoteChar">
    <w:name w:val="Quote Char"/>
    <w:rPr>
      <w:i/>
      <w:iCs/>
      <w:color w:val="000000"/>
      <w:w w:val="100"/>
      <w:position w:val="-1"/>
      <w:sz w:val="22"/>
      <w:effect w:val="none"/>
      <w:vertAlign w:val="baseline"/>
      <w:cs w:val="0"/>
      <w:em w:val="none"/>
      <w:lang w:eastAsia="en-US"/>
    </w:rPr>
  </w:style>
  <w:style w:type="paragraph" w:styleId="Salutation">
    <w:name w:val="Salutation"/>
    <w:basedOn w:val="Normal"/>
    <w:next w:val="Normal"/>
  </w:style>
  <w:style w:type="character" w:customStyle="1" w:styleId="SalutationChar">
    <w:name w:val="Salutation Char"/>
    <w:rPr>
      <w:w w:val="100"/>
      <w:position w:val="-1"/>
      <w:sz w:val="22"/>
      <w:effect w:val="none"/>
      <w:vertAlign w:val="baseline"/>
      <w:cs w:val="0"/>
      <w:em w:val="none"/>
      <w:lang w:eastAsia="en-US"/>
    </w:rPr>
  </w:style>
  <w:style w:type="paragraph" w:styleId="Signature">
    <w:name w:val="Signature"/>
    <w:basedOn w:val="Normal"/>
    <w:pPr>
      <w:ind w:left="4252"/>
    </w:pPr>
  </w:style>
  <w:style w:type="character" w:customStyle="1" w:styleId="SignatureChar">
    <w:name w:val="Signature Char"/>
    <w:rPr>
      <w:w w:val="100"/>
      <w:position w:val="-1"/>
      <w:sz w:val="22"/>
      <w:effect w:val="none"/>
      <w:vertAlign w:val="baseline"/>
      <w:cs w:val="0"/>
      <w:em w:val="none"/>
      <w:lang w:eastAsia="en-US"/>
    </w:rPr>
  </w:style>
  <w:style w:type="character" w:styleId="Strong">
    <w:name w:val="Strong"/>
    <w:rPr>
      <w:b/>
      <w:bCs/>
      <w:w w:val="100"/>
      <w:position w:val="-1"/>
      <w:effect w:val="none"/>
      <w:vertAlign w:val="baseline"/>
      <w:cs w:val="0"/>
      <w:em w:val="none"/>
    </w:rPr>
  </w:style>
  <w:style w:type="paragraph" w:styleId="Subtitle">
    <w:name w:val="Subtitle"/>
    <w:basedOn w:val="Normal"/>
    <w:next w:val="Normal"/>
    <w:pPr>
      <w:spacing w:after="60"/>
      <w:jc w:val="center"/>
    </w:pPr>
    <w:rPr>
      <w:rFonts w:ascii="Cambria" w:eastAsia="Cambria" w:hAnsi="Cambria" w:cs="Cambria"/>
      <w:sz w:val="24"/>
      <w:szCs w:val="24"/>
    </w:rPr>
  </w:style>
  <w:style w:type="character" w:customStyle="1" w:styleId="SubtitleChar">
    <w:name w:val="Subtitle Char"/>
    <w:rPr>
      <w:rFonts w:ascii="Cambria" w:eastAsia="Times New Roman" w:hAnsi="Cambria" w:cs="Times New Roman"/>
      <w:w w:val="100"/>
      <w:position w:val="-1"/>
      <w:sz w:val="24"/>
      <w:szCs w:val="24"/>
      <w:effect w:val="none"/>
      <w:vertAlign w:val="baseline"/>
      <w:cs w:val="0"/>
      <w:em w:val="none"/>
      <w:lang w:eastAsia="en-US"/>
    </w:rPr>
  </w:style>
  <w:style w:type="character" w:styleId="SubtleEmphasis">
    <w:name w:val="Subtle Emphasis"/>
    <w:rPr>
      <w:i/>
      <w:iCs/>
      <w:color w:val="808080"/>
      <w:w w:val="100"/>
      <w:position w:val="-1"/>
      <w:effect w:val="none"/>
      <w:vertAlign w:val="baseline"/>
      <w:cs w:val="0"/>
      <w:em w:val="none"/>
    </w:rPr>
  </w:style>
  <w:style w:type="character" w:styleId="SubtleReference">
    <w:name w:val="Subtle Reference"/>
    <w:rPr>
      <w:smallCaps/>
      <w:color w:val="C0504D"/>
      <w:w w:val="100"/>
      <w:position w:val="-1"/>
      <w:u w:val="single"/>
      <w:effect w:val="none"/>
      <w:vertAlign w:val="baseline"/>
      <w:cs w:val="0"/>
      <w:em w:val="none"/>
    </w:rPr>
  </w:style>
  <w:style w:type="table" w:styleId="Table3Deffects1">
    <w:name w:val="Table 3D effects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style>
  <w:style w:type="table" w:styleId="Table3Deffects2">
    <w:name w:val="Table 3D effects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Pr>
  </w:style>
  <w:style w:type="table" w:styleId="Table3Deffects3">
    <w:name w:val="Table 3D effects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StyleColBandSize w:val="1"/>
    </w:tblPr>
  </w:style>
  <w:style w:type="table" w:styleId="TableClassic1">
    <w:name w:val="Table Classic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bottom w:val="single" w:sz="12" w:space="0" w:color="000000"/>
      </w:tblBorders>
    </w:tblPr>
  </w:style>
  <w:style w:type="table" w:styleId="TableClassic2">
    <w:name w:val="Table Classic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bottom w:val="single" w:sz="12" w:space="0" w:color="000000"/>
      </w:tblBorders>
    </w:tblPr>
  </w:style>
  <w:style w:type="table" w:styleId="TableClassic3">
    <w:name w:val="Table Classic 3"/>
    <w:basedOn w:val="TableNormal"/>
    <w:pPr>
      <w:suppressAutoHyphens/>
      <w:overflowPunct w:val="0"/>
      <w:autoSpaceDE w:val="0"/>
      <w:autoSpaceDN w:val="0"/>
      <w:adjustRightInd w:val="0"/>
      <w:ind w:leftChars="-1" w:left="-1" w:hangingChars="1" w:hanging="1"/>
      <w:textDirection w:val="btLr"/>
      <w:textAlignment w:val="baseline"/>
      <w:outlineLvl w:val="0"/>
    </w:pPr>
    <w:rPr>
      <w:color w:val="000080"/>
      <w:position w:val="-1"/>
    </w:rPr>
    <w:tblPr>
      <w:tblBorders>
        <w:top w:val="single" w:sz="12" w:space="0" w:color="000000"/>
        <w:left w:val="single" w:sz="12" w:space="0" w:color="000000"/>
        <w:bottom w:val="single" w:sz="12" w:space="0" w:color="000000"/>
        <w:right w:val="single" w:sz="12" w:space="0" w:color="000000"/>
      </w:tblBorders>
    </w:tblPr>
  </w:style>
  <w:style w:type="table" w:styleId="TableClassic4">
    <w:name w:val="Table Classic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6" w:space="0" w:color="000000"/>
        <w:bottom w:val="single" w:sz="12" w:space="0" w:color="000000"/>
        <w:right w:val="single" w:sz="6" w:space="0" w:color="000000"/>
      </w:tblBorders>
    </w:tblPr>
  </w:style>
  <w:style w:type="table" w:styleId="TableColorful1">
    <w:name w:val="Table Colorful 1"/>
    <w:basedOn w:val="TableNormal"/>
    <w:pPr>
      <w:suppressAutoHyphens/>
      <w:overflowPunct w:val="0"/>
      <w:autoSpaceDE w:val="0"/>
      <w:autoSpaceDN w:val="0"/>
      <w:adjustRightInd w:val="0"/>
      <w:ind w:leftChars="-1" w:left="-1" w:hangingChars="1" w:hanging="1"/>
      <w:textDirection w:val="btLr"/>
      <w:textAlignment w:val="baseline"/>
      <w:outlineLvl w:val="0"/>
    </w:pPr>
    <w:rPr>
      <w:color w:val="FFFFFF"/>
      <w:position w:val="-1"/>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styleId="TableColorful2">
    <w:name w:val="Table Colorful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bottom w:val="single" w:sz="12" w:space="0" w:color="000000"/>
      </w:tblBorders>
    </w:tblPr>
  </w:style>
  <w:style w:type="table" w:styleId="TableColorful3">
    <w:name w:val="Table Colorful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styleId="TableColumns1">
    <w:name w:val="Table Columns 1"/>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StyleColBandSize w:val="1"/>
      <w:tblBorders>
        <w:top w:val="single" w:sz="12" w:space="0" w:color="000000"/>
        <w:left w:val="single" w:sz="12" w:space="0" w:color="000000"/>
        <w:bottom w:val="single" w:sz="12" w:space="0" w:color="000000"/>
        <w:right w:val="single" w:sz="12" w:space="0" w:color="000000"/>
      </w:tblBorders>
    </w:tblPr>
  </w:style>
  <w:style w:type="table" w:styleId="TableColumns2">
    <w:name w:val="Table Columns 2"/>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StyleColBandSize w:val="1"/>
    </w:tblPr>
  </w:style>
  <w:style w:type="table" w:styleId="TableColumns3">
    <w:name w:val="Table Columns 3"/>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styleId="TableColumns4">
    <w:name w:val="Table Columns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ColBandSize w:val="1"/>
    </w:tblPr>
  </w:style>
  <w:style w:type="table" w:styleId="TableColumns5">
    <w:name w:val="Table Columns 5"/>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styleId="TableContemporary">
    <w:name w:val="Table Contemporary"/>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insideH w:val="single" w:sz="18" w:space="0" w:color="FFFFFF"/>
        <w:insideV w:val="single" w:sz="18" w:space="0" w:color="FFFFFF"/>
      </w:tblBorders>
    </w:tblPr>
  </w:style>
  <w:style w:type="table" w:styleId="TableElegant">
    <w:name w:val="Table Elegant"/>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styleId="TableGrid1">
    <w:name w:val="Table Grid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TableGrid2">
    <w:name w:val="Table Grid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insideH w:val="single" w:sz="6" w:space="0" w:color="000000"/>
        <w:insideV w:val="single" w:sz="6" w:space="0" w:color="000000"/>
      </w:tblBorders>
    </w:tblPr>
  </w:style>
  <w:style w:type="table" w:styleId="TableGrid3">
    <w:name w:val="Table Grid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styleId="TableGrid4">
    <w:name w:val="Table Grid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left w:val="single" w:sz="12" w:space="0" w:color="000000"/>
        <w:right w:val="single" w:sz="12" w:space="0" w:color="000000"/>
        <w:insideH w:val="single" w:sz="6" w:space="0" w:color="000000"/>
        <w:insideV w:val="single" w:sz="6" w:space="0" w:color="000000"/>
      </w:tblBorders>
    </w:tblPr>
  </w:style>
  <w:style w:type="table" w:styleId="TableGrid5">
    <w:name w:val="Table Grid 5"/>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TableGrid6">
    <w:name w:val="Table Grid 6"/>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styleId="TableGrid7">
    <w:name w:val="Table Grid 7"/>
    <w:basedOn w:val="TableNormal"/>
    <w:pPr>
      <w:suppressAutoHyphens/>
      <w:overflowPunct w:val="0"/>
      <w:autoSpaceDE w:val="0"/>
      <w:autoSpaceDN w:val="0"/>
      <w:adjustRightInd w:val="0"/>
      <w:ind w:leftChars="-1" w:left="-1" w:hangingChars="1" w:hanging="1"/>
      <w:textDirection w:val="btLr"/>
      <w:textAlignment w:val="baseline"/>
      <w:outlineLvl w:val="0"/>
    </w:pPr>
    <w:rPr>
      <w:b/>
      <w:bCs/>
      <w:position w:val="-1"/>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TableGrid8">
    <w:name w:val="Table Grid 8"/>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styleId="TableList1">
    <w:name w:val="Table List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12" w:space="0" w:color="008080"/>
        <w:left w:val="single" w:sz="6" w:space="0" w:color="008080"/>
        <w:bottom w:val="single" w:sz="12" w:space="0" w:color="008080"/>
        <w:right w:val="single" w:sz="6" w:space="0" w:color="008080"/>
      </w:tblBorders>
    </w:tblPr>
  </w:style>
  <w:style w:type="table" w:styleId="TableList2">
    <w:name w:val="Table List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2"/>
      <w:tblBorders>
        <w:bottom w:val="single" w:sz="12" w:space="0" w:color="808080"/>
      </w:tblBorders>
    </w:tblPr>
  </w:style>
  <w:style w:type="table" w:styleId="TableList3">
    <w:name w:val="Table List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bottom w:val="single" w:sz="12" w:space="0" w:color="000000"/>
        <w:insideH w:val="single" w:sz="6" w:space="0" w:color="000000"/>
      </w:tblBorders>
    </w:tblPr>
  </w:style>
  <w:style w:type="table" w:styleId="TableList4">
    <w:name w:val="Table List 4"/>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styleId="TableList5">
    <w:name w:val="Table List 5"/>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styleId="TableList6">
    <w:name w:val="Table List 6"/>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6" w:space="0" w:color="000000"/>
        <w:left w:val="single" w:sz="6" w:space="0" w:color="000000"/>
        <w:bottom w:val="single" w:sz="6" w:space="0" w:color="000000"/>
        <w:right w:val="single" w:sz="6" w:space="0" w:color="000000"/>
      </w:tblBorders>
    </w:tblPr>
  </w:style>
  <w:style w:type="table" w:styleId="TableList7">
    <w:name w:val="Table List 7"/>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TableList8">
    <w:name w:val="Table List 8"/>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TableSimple1">
    <w:name w:val="Table Simple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8000"/>
        <w:bottom w:val="single" w:sz="12" w:space="0" w:color="008000"/>
      </w:tblBorders>
    </w:tblPr>
  </w:style>
  <w:style w:type="table" w:styleId="TableSimple2">
    <w:name w:val="Table Simple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style>
  <w:style w:type="table" w:styleId="TableSimple3">
    <w:name w:val="Table Simple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12" w:space="0" w:color="000000"/>
        <w:left w:val="single" w:sz="12" w:space="0" w:color="000000"/>
        <w:bottom w:val="single" w:sz="12" w:space="0" w:color="000000"/>
        <w:right w:val="single" w:sz="12" w:space="0" w:color="000000"/>
      </w:tblBorders>
    </w:tblPr>
  </w:style>
  <w:style w:type="table" w:styleId="TableSubtle1">
    <w:name w:val="Table Subtle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StyleRowBandSize w:val="1"/>
    </w:tblPr>
  </w:style>
  <w:style w:type="table" w:styleId="TableSubtle2">
    <w:name w:val="Table Subtle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left w:val="single" w:sz="6" w:space="0" w:color="000000"/>
        <w:right w:val="single" w:sz="6" w:space="0" w:color="000000"/>
      </w:tblBorders>
    </w:tblPr>
  </w:style>
  <w:style w:type="table" w:styleId="TableTheme">
    <w:name w:val="Table Theme"/>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styleId="TableWeb2">
    <w:name w:val="Table Web 2"/>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styleId="TableWeb3">
    <w:name w:val="Table Web 3"/>
    <w:basedOn w:val="TableNormal"/>
    <w:pPr>
      <w:suppressAutoHyphens/>
      <w:overflowPunct w:val="0"/>
      <w:autoSpaceDE w:val="0"/>
      <w:autoSpaceDN w:val="0"/>
      <w:adjustRightInd w:val="0"/>
      <w:ind w:leftChars="-1" w:left="-1" w:hangingChars="1" w:hanging="1"/>
      <w:textDirection w:val="btLr"/>
      <w:textAlignment w:val="baseline"/>
      <w:outlineLvl w:val="0"/>
    </w:pPr>
    <w:rPr>
      <w:position w:val="-1"/>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paragraph" w:styleId="TOCHeading">
    <w:name w:val="TOC Heading"/>
    <w:basedOn w:val="Heading1"/>
    <w:next w:val="Normal"/>
    <w:qFormat/>
    <w:pPr>
      <w:keepNext/>
      <w:numPr>
        <w:numId w:val="0"/>
      </w:numPr>
      <w:overflowPunct w:val="0"/>
      <w:autoSpaceDE w:val="0"/>
      <w:autoSpaceDN w:val="0"/>
      <w:spacing w:before="240" w:after="60" w:line="360" w:lineRule="auto"/>
      <w:ind w:leftChars="-1" w:left="-1" w:hangingChars="1" w:hanging="1"/>
      <w:textAlignment w:val="baseline"/>
      <w:outlineLvl w:val="9"/>
    </w:pPr>
    <w:rPr>
      <w:rFonts w:ascii="Cambria" w:hAnsi="Cambria"/>
      <w:b/>
      <w:bCs/>
      <w:kern w:val="32"/>
      <w:sz w:val="32"/>
      <w:szCs w:val="32"/>
    </w:rPr>
  </w:style>
  <w:style w:type="character" w:customStyle="1" w:styleId="Heading1Char">
    <w:name w:val="Heading 1 Char"/>
    <w:rPr>
      <w:w w:val="100"/>
      <w:position w:val="-1"/>
      <w:sz w:val="22"/>
      <w:effect w:val="none"/>
      <w:vertAlign w:val="baseline"/>
      <w:cs w:val="0"/>
      <w:em w:val="none"/>
      <w:lang w:eastAsia="zh-CN"/>
    </w:rPr>
  </w:style>
  <w:style w:type="character" w:customStyle="1" w:styleId="Heading2Char">
    <w:name w:val="Heading 2 Char"/>
    <w:rPr>
      <w:rFonts w:ascii="Calibri" w:eastAsia="STZhongsong" w:hAnsi="Calibri"/>
      <w:w w:val="100"/>
      <w:position w:val="-1"/>
      <w:sz w:val="22"/>
      <w:effect w:val="none"/>
      <w:vertAlign w:val="baseline"/>
      <w:cs w:val="0"/>
      <w:em w:val="none"/>
      <w:lang w:eastAsia="zh-CN"/>
    </w:rPr>
  </w:style>
  <w:style w:type="character" w:customStyle="1" w:styleId="Heading3Char">
    <w:name w:val="Heading 3 Char"/>
    <w:rPr>
      <w:w w:val="100"/>
      <w:position w:val="-1"/>
      <w:sz w:val="22"/>
      <w:effect w:val="none"/>
      <w:vertAlign w:val="baseline"/>
      <w:cs w:val="0"/>
      <w:em w:val="none"/>
      <w:lang w:eastAsia="zh-CN"/>
    </w:rPr>
  </w:style>
  <w:style w:type="character" w:customStyle="1" w:styleId="Heading4Char">
    <w:name w:val="Heading 4 Char"/>
    <w:rPr>
      <w:w w:val="100"/>
      <w:position w:val="-1"/>
      <w:sz w:val="22"/>
      <w:effect w:val="none"/>
      <w:vertAlign w:val="baseline"/>
      <w:cs w:val="0"/>
      <w:em w:val="none"/>
      <w:lang w:eastAsia="zh-CN"/>
    </w:rPr>
  </w:style>
  <w:style w:type="character" w:customStyle="1" w:styleId="Heading5Char">
    <w:name w:val="Heading 5 Char"/>
    <w:rPr>
      <w:w w:val="100"/>
      <w:position w:val="-1"/>
      <w:sz w:val="22"/>
      <w:effect w:val="none"/>
      <w:vertAlign w:val="baseline"/>
      <w:cs w:val="0"/>
      <w:em w:val="none"/>
      <w:lang w:eastAsia="zh-CN"/>
    </w:rPr>
  </w:style>
  <w:style w:type="character" w:customStyle="1" w:styleId="MarginTextChar">
    <w:name w:val="Margin Text Char"/>
    <w:rPr>
      <w:rFonts w:ascii="Calibri" w:eastAsia="STZhongsong" w:hAnsi="Calibri"/>
      <w:w w:val="100"/>
      <w:position w:val="-1"/>
      <w:sz w:val="22"/>
      <w:effect w:val="none"/>
      <w:vertAlign w:val="baseline"/>
      <w:cs w:val="0"/>
      <w:em w:val="none"/>
      <w:lang w:eastAsia="zh-CN"/>
    </w:rPr>
  </w:style>
  <w:style w:type="character" w:customStyle="1" w:styleId="BodyTextIndent2Char">
    <w:name w:val="Body Text Indent 2 Char"/>
    <w:rPr>
      <w:w w:val="100"/>
      <w:position w:val="-1"/>
      <w:sz w:val="22"/>
      <w:effect w:val="none"/>
      <w:vertAlign w:val="baseline"/>
      <w:cs w:val="0"/>
      <w:em w:val="none"/>
      <w:lang w:eastAsia="zh-CN"/>
    </w:rPr>
  </w:style>
  <w:style w:type="paragraph" w:customStyle="1" w:styleId="PartDes">
    <w:name w:val="PartDes"/>
    <w:basedOn w:val="Normal"/>
    <w:pPr>
      <w:overflowPunct/>
      <w:autoSpaceDE/>
      <w:autoSpaceDN/>
      <w:adjustRightInd/>
      <w:spacing w:before="120" w:after="120" w:line="240" w:lineRule="auto"/>
      <w:jc w:val="center"/>
      <w:textAlignment w:val="auto"/>
    </w:pPr>
    <w:rPr>
      <w:rFonts w:ascii="Trebuchet MS" w:eastAsia="Trebuchet MS" w:hAnsi="Trebuchet MS"/>
      <w:b/>
      <w:bCs/>
    </w:rPr>
  </w:style>
  <w:style w:type="paragraph" w:customStyle="1" w:styleId="TableNormal1">
    <w:name w:val="Table Normal1"/>
    <w:basedOn w:val="Normal"/>
    <w:pPr>
      <w:overflowPunct/>
      <w:autoSpaceDE/>
      <w:autoSpaceDN/>
      <w:adjustRightInd/>
      <w:spacing w:before="120" w:after="120" w:line="240" w:lineRule="auto"/>
      <w:ind w:left="34"/>
      <w:jc w:val="left"/>
      <w:textAlignment w:val="auto"/>
    </w:pPr>
    <w:rPr>
      <w:rFonts w:ascii="Trebuchet MS" w:eastAsia="Trebuchet MS" w:hAnsi="Trebuchet MS"/>
    </w:rPr>
  </w:style>
  <w:style w:type="paragraph" w:customStyle="1" w:styleId="Heading2-NotBoldNotUnderlined">
    <w:name w:val="Heading 2 - Not Bold Not Underlined"/>
    <w:basedOn w:val="Heading2"/>
    <w:pPr>
      <w:numPr>
        <w:numId w:val="0"/>
      </w:numPr>
      <w:adjustRightInd/>
      <w:spacing w:after="200"/>
      <w:ind w:leftChars="-1" w:left="1582" w:hangingChars="1" w:hanging="720"/>
    </w:pPr>
    <w:rPr>
      <w:rFonts w:ascii="Arial" w:eastAsia="Calibri" w:hAnsi="Arial" w:cs="Arial"/>
      <w:sz w:val="20"/>
    </w:rPr>
  </w:style>
  <w:style w:type="paragraph" w:customStyle="1" w:styleId="Body2">
    <w:name w:val="Body2"/>
    <w:basedOn w:val="Normal"/>
    <w:pPr>
      <w:overflowPunct/>
      <w:autoSpaceDE/>
      <w:autoSpaceDN/>
      <w:adjustRightInd/>
      <w:ind w:left="709"/>
      <w:textAlignment w:val="auto"/>
    </w:pPr>
    <w:rPr>
      <w:sz w:val="24"/>
      <w:szCs w:val="24"/>
    </w:rPr>
  </w:style>
  <w:style w:type="paragraph" w:customStyle="1" w:styleId="GPSL1CLAUSEHEADING">
    <w:name w:val="GPS L1 CLAUSE HEADING"/>
    <w:basedOn w:val="Normal"/>
    <w:next w:val="Normal"/>
    <w:pPr>
      <w:tabs>
        <w:tab w:val="left" w:pos="142"/>
      </w:tabs>
      <w:overflowPunct/>
      <w:autoSpaceDE/>
      <w:autoSpaceDN/>
      <w:spacing w:before="120" w:line="240" w:lineRule="auto"/>
      <w:textAlignment w:val="auto"/>
      <w:outlineLvl w:val="1"/>
    </w:pPr>
    <w:rPr>
      <w:rFonts w:ascii="Calibri" w:eastAsia="STZhongsong" w:hAnsi="Calibri" w:cs="Arial"/>
      <w:b/>
      <w:caps/>
      <w:lang w:eastAsia="zh-CN"/>
    </w:rPr>
  </w:style>
  <w:style w:type="paragraph" w:customStyle="1" w:styleId="GPSL3numberedclause">
    <w:name w:val="GPS L3 numbered clause"/>
    <w:basedOn w:val="Normal"/>
    <w:pPr>
      <w:tabs>
        <w:tab w:val="left" w:pos="1985"/>
      </w:tabs>
      <w:overflowPunct/>
      <w:autoSpaceDE/>
      <w:autoSpaceDN/>
      <w:spacing w:before="120" w:after="120" w:line="240" w:lineRule="auto"/>
      <w:textAlignment w:val="auto"/>
    </w:pPr>
    <w:rPr>
      <w:rFonts w:ascii="Calibri" w:hAnsi="Calibri" w:cs="Arial"/>
      <w:lang w:eastAsia="zh-CN"/>
    </w:rPr>
  </w:style>
  <w:style w:type="paragraph" w:customStyle="1" w:styleId="GPSL4numberedclause">
    <w:name w:val="GPS L4 numbered clause"/>
    <w:basedOn w:val="GPSL3numberedclause"/>
    <w:pPr>
      <w:tabs>
        <w:tab w:val="left" w:pos="2552"/>
      </w:tabs>
    </w:pPr>
  </w:style>
  <w:style w:type="paragraph" w:customStyle="1" w:styleId="GPSL5numberedclause">
    <w:name w:val="GPS L5 numbered clause"/>
    <w:basedOn w:val="GPSL4numberedclause"/>
    <w:pPr>
      <w:tabs>
        <w:tab w:val="left" w:pos="3119"/>
      </w:tabs>
    </w:pPr>
  </w:style>
  <w:style w:type="paragraph" w:customStyle="1" w:styleId="GPSL2NumberedBoldHeading">
    <w:name w:val="GPS L2 Numbered Bold Heading"/>
    <w:basedOn w:val="Normal"/>
    <w:pPr>
      <w:tabs>
        <w:tab w:val="left" w:pos="1134"/>
      </w:tabs>
      <w:overflowPunct/>
      <w:autoSpaceDE/>
      <w:autoSpaceDN/>
      <w:spacing w:before="120" w:after="120" w:line="240" w:lineRule="auto"/>
      <w:textAlignment w:val="auto"/>
    </w:pPr>
    <w:rPr>
      <w:rFonts w:ascii="Calibri" w:hAnsi="Calibri" w:cs="Arial"/>
      <w:b/>
      <w:lang w:eastAsia="zh-CN"/>
    </w:rPr>
  </w:style>
  <w:style w:type="paragraph" w:customStyle="1" w:styleId="GPSL6numbered">
    <w:name w:val="GPS L6 numbered"/>
    <w:basedOn w:val="GPSL5numberedclause"/>
    <w:pPr>
      <w:tabs>
        <w:tab w:val="left" w:pos="3686"/>
      </w:tabs>
    </w:pPr>
  </w:style>
  <w:style w:type="character" w:customStyle="1" w:styleId="GPSL3numberedclauseChar">
    <w:name w:val="GPS L3 numbered clause Char"/>
    <w:rPr>
      <w:rFonts w:ascii="Calibri" w:hAnsi="Calibri" w:cs="Arial"/>
      <w:w w:val="100"/>
      <w:position w:val="-1"/>
      <w:sz w:val="22"/>
      <w:szCs w:val="22"/>
      <w:effect w:val="none"/>
      <w:vertAlign w:val="baseline"/>
      <w:cs w:val="0"/>
      <w:em w:val="none"/>
      <w:lang w:eastAsia="zh-CN"/>
    </w:rPr>
  </w:style>
  <w:style w:type="paragraph" w:customStyle="1" w:styleId="GPSL1SCHEDULEHeading">
    <w:name w:val="GPS L1 SCHEDULE Heading"/>
    <w:basedOn w:val="GPSL1CLAUSEHEADING"/>
    <w:pPr>
      <w:keepNext/>
      <w:tabs>
        <w:tab w:val="clear" w:pos="142"/>
      </w:tabs>
      <w:outlineLvl w:val="9"/>
    </w:pPr>
  </w:style>
  <w:style w:type="paragraph" w:customStyle="1" w:styleId="GPSL2Numbered">
    <w:name w:val="GPS L2 Numbered"/>
    <w:basedOn w:val="GPSL2NumberedBoldHeading"/>
    <w:pPr>
      <w:tabs>
        <w:tab w:val="clear" w:pos="1134"/>
      </w:tabs>
    </w:pPr>
    <w:rPr>
      <w:b w:val="0"/>
    </w:rPr>
  </w:style>
  <w:style w:type="character" w:customStyle="1" w:styleId="GPSL2NumberedChar">
    <w:name w:val="GPS L2 Numbered Char"/>
    <w:rPr>
      <w:rFonts w:ascii="Calibri" w:hAnsi="Calibri" w:cs="Arial"/>
      <w:w w:val="100"/>
      <w:position w:val="-1"/>
      <w:sz w:val="22"/>
      <w:szCs w:val="22"/>
      <w:effect w:val="none"/>
      <w:vertAlign w:val="baseline"/>
      <w:cs w:val="0"/>
      <w:em w:val="none"/>
      <w:lang w:eastAsia="zh-CN"/>
    </w:rPr>
  </w:style>
  <w:style w:type="character" w:customStyle="1" w:styleId="GPSL1SCHEDULEHeadingChar">
    <w:name w:val="GPS L1 SCHEDULE Heading Char"/>
    <w:rPr>
      <w:rFonts w:ascii="Calibri" w:eastAsia="STZhongsong" w:hAnsi="Calibri" w:cs="Arial"/>
      <w:b/>
      <w:caps/>
      <w:w w:val="100"/>
      <w:position w:val="-1"/>
      <w:sz w:val="22"/>
      <w:szCs w:val="22"/>
      <w:effect w:val="none"/>
      <w:vertAlign w:val="baseline"/>
      <w:cs w:val="0"/>
      <w:em w:val="none"/>
      <w:lang w:eastAsia="zh-CN"/>
    </w:rPr>
  </w:style>
  <w:style w:type="character" w:customStyle="1" w:styleId="FooterChar">
    <w:name w:val="Footer Char"/>
    <w:rPr>
      <w:w w:val="100"/>
      <w:position w:val="-1"/>
      <w:sz w:val="22"/>
      <w:effect w:val="none"/>
      <w:vertAlign w:val="baseline"/>
      <w:cs w:val="0"/>
      <w:em w:val="none"/>
      <w:lang w:eastAsia="en-US"/>
    </w:rPr>
  </w:style>
  <w:style w:type="paragraph" w:customStyle="1" w:styleId="GPsDefinition">
    <w:name w:val="GPs Definition"/>
    <w:basedOn w:val="Normal"/>
    <w:pPr>
      <w:tabs>
        <w:tab w:val="left" w:pos="-9"/>
        <w:tab w:val="num" w:pos="720"/>
      </w:tabs>
      <w:spacing w:after="120" w:line="240" w:lineRule="auto"/>
    </w:pPr>
    <w:rPr>
      <w:rFonts w:ascii="Arial" w:hAnsi="Arial" w:cs="Arial"/>
    </w:rPr>
  </w:style>
  <w:style w:type="paragraph" w:customStyle="1" w:styleId="GPSDefinitionL2">
    <w:name w:val="GPS Definition L2"/>
    <w:basedOn w:val="GPsDefinition"/>
    <w:pPr>
      <w:tabs>
        <w:tab w:val="clear" w:pos="-9"/>
        <w:tab w:val="clear" w:pos="720"/>
        <w:tab w:val="left" w:pos="144"/>
        <w:tab w:val="num" w:pos="1440"/>
      </w:tabs>
      <w:ind w:hanging="545"/>
    </w:pPr>
  </w:style>
  <w:style w:type="paragraph" w:customStyle="1" w:styleId="GPSDefinitionL3">
    <w:name w:val="GPS Definition L3"/>
    <w:basedOn w:val="GPSDefinitionL2"/>
    <w:pPr>
      <w:tabs>
        <w:tab w:val="clear" w:pos="1440"/>
        <w:tab w:val="num" w:pos="2160"/>
      </w:tabs>
    </w:pPr>
  </w:style>
  <w:style w:type="paragraph" w:customStyle="1" w:styleId="GPSDefinitionL4">
    <w:name w:val="GPS Definition L4"/>
    <w:basedOn w:val="GPSDefinitionL3"/>
    <w:pPr>
      <w:tabs>
        <w:tab w:val="clear" w:pos="2160"/>
        <w:tab w:val="num" w:pos="2880"/>
      </w:tabs>
    </w:pPr>
  </w:style>
  <w:style w:type="paragraph" w:customStyle="1" w:styleId="GPSDefinitionTerm">
    <w:name w:val="GPS Definition Term"/>
    <w:basedOn w:val="Normal"/>
    <w:pPr>
      <w:spacing w:after="120" w:line="240" w:lineRule="auto"/>
      <w:ind w:left="-108"/>
      <w:jc w:val="left"/>
    </w:pPr>
    <w:rPr>
      <w:rFonts w:ascii="Arial" w:hAnsi="Arial" w:cs="Arial"/>
      <w:b/>
    </w:rPr>
  </w:style>
  <w:style w:type="character" w:customStyle="1" w:styleId="HeaderChar">
    <w:name w:val="Header Char"/>
    <w:rPr>
      <w:w w:val="100"/>
      <w:position w:val="-1"/>
      <w:sz w:val="22"/>
      <w:effect w:val="none"/>
      <w:vertAlign w:val="baseline"/>
      <w:cs w:val="0"/>
      <w:em w:val="none"/>
      <w:lang w:eastAsia="en-US"/>
    </w:rPr>
  </w:style>
  <w:style w:type="paragraph" w:customStyle="1" w:styleId="GPSL1Schedulenumbered">
    <w:name w:val="GPS L1 Schedule numbered"/>
    <w:basedOn w:val="Normal"/>
    <w:pPr>
      <w:tabs>
        <w:tab w:val="num" w:pos="720"/>
        <w:tab w:val="left" w:pos="851"/>
      </w:tabs>
      <w:spacing w:line="240" w:lineRule="auto"/>
    </w:pPr>
    <w:rPr>
      <w:rFonts w:ascii="Calibri" w:hAnsi="Calibri" w:cs="Arial"/>
    </w:rPr>
  </w:style>
  <w:style w:type="character" w:customStyle="1" w:styleId="GPSL1SchedulenumberedChar1">
    <w:name w:val="GPS L1 Schedule numbered Char1"/>
    <w:rPr>
      <w:rFonts w:ascii="Calibri" w:hAnsi="Calibri" w:cs="Arial"/>
      <w:w w:val="100"/>
      <w:position w:val="-1"/>
      <w:sz w:val="22"/>
      <w:szCs w:val="22"/>
      <w:effect w:val="none"/>
      <w:vertAlign w:val="baseline"/>
      <w:cs w:val="0"/>
      <w:em w:val="none"/>
      <w:lang w:eastAsia="en-US"/>
    </w:rPr>
  </w:style>
  <w:style w:type="character" w:customStyle="1" w:styleId="GPSL4numberedclauseChar">
    <w:name w:val="GPS L4 numbered clause Char"/>
    <w:rPr>
      <w:rFonts w:ascii="Calibri" w:hAnsi="Calibri" w:cs="Arial"/>
      <w:w w:val="100"/>
      <w:position w:val="-1"/>
      <w:sz w:val="22"/>
      <w:szCs w:val="22"/>
      <w:effect w:val="none"/>
      <w:vertAlign w:val="baseline"/>
      <w:cs w:val="0"/>
      <w:em w:val="none"/>
      <w:lang w:eastAsia="zh-CN"/>
    </w:rPr>
  </w:style>
  <w:style w:type="character" w:customStyle="1" w:styleId="GPSL2NumberedBoldHeadingChar">
    <w:name w:val="GPS L2 Numbered Bold Heading Char"/>
    <w:rPr>
      <w:rFonts w:ascii="Calibri" w:hAnsi="Calibri" w:cs="Arial"/>
      <w:b/>
      <w:w w:val="100"/>
      <w:position w:val="-1"/>
      <w:sz w:val="22"/>
      <w:szCs w:val="22"/>
      <w:effect w:val="none"/>
      <w:vertAlign w:val="baseline"/>
      <w:cs w:val="0"/>
      <w:em w:val="none"/>
      <w:lang w:eastAsia="zh-CN"/>
    </w:rPr>
  </w:style>
  <w:style w:type="paragraph" w:customStyle="1" w:styleId="GPSL2numberedclause">
    <w:name w:val="GPS L2 numbered clause"/>
    <w:basedOn w:val="Normal"/>
    <w:pPr>
      <w:tabs>
        <w:tab w:val="left" w:pos="1134"/>
      </w:tabs>
      <w:overflowPunct/>
      <w:autoSpaceDE/>
      <w:autoSpaceDN/>
      <w:spacing w:before="120" w:after="120" w:line="240" w:lineRule="auto"/>
      <w:ind w:left="1134" w:hanging="567"/>
      <w:textAlignment w:val="auto"/>
    </w:pPr>
    <w:rPr>
      <w:rFonts w:ascii="Calibri" w:hAnsi="Calibri" w:cs="Arial"/>
      <w:lang w:eastAsia="zh-CN"/>
    </w:rPr>
  </w:style>
  <w:style w:type="character" w:customStyle="1" w:styleId="GPSL2numberedclauseChar1">
    <w:name w:val="GPS L2 numbered clause Char1"/>
    <w:rPr>
      <w:rFonts w:ascii="Calibri" w:hAnsi="Calibri" w:cs="Arial"/>
      <w:w w:val="100"/>
      <w:position w:val="-1"/>
      <w:sz w:val="22"/>
      <w:szCs w:val="22"/>
      <w:effect w:val="none"/>
      <w:vertAlign w:val="baseline"/>
      <w:cs w:val="0"/>
      <w:em w:val="none"/>
      <w:lang w:eastAsia="zh-CN"/>
    </w:rPr>
  </w:style>
  <w:style w:type="paragraph" w:customStyle="1" w:styleId="Body3">
    <w:name w:val="Body3"/>
    <w:basedOn w:val="Normal"/>
    <w:pPr>
      <w:overflowPunct/>
      <w:autoSpaceDE/>
      <w:autoSpaceDN/>
      <w:adjustRightInd/>
      <w:spacing w:after="220" w:line="240" w:lineRule="auto"/>
      <w:ind w:left="1412"/>
      <w:textAlignment w:val="auto"/>
    </w:pPr>
    <w:rPr>
      <w:rFonts w:ascii="Trebuchet MS" w:hAnsi="Trebuchet MS"/>
      <w:sz w:val="20"/>
    </w:rPr>
  </w:style>
  <w:style w:type="character" w:customStyle="1" w:styleId="GPSDefinitionL2Char">
    <w:name w:val="GPS Definition L2 Char"/>
    <w:rPr>
      <w:rFonts w:ascii="Arial" w:hAnsi="Arial" w:cs="Arial"/>
      <w:w w:val="100"/>
      <w:position w:val="-1"/>
      <w:sz w:val="22"/>
      <w:szCs w:val="22"/>
      <w:effect w:val="none"/>
      <w:vertAlign w:val="baseline"/>
      <w:cs w:val="0"/>
      <w:em w:val="none"/>
      <w:lang w:eastAsia="en-US"/>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QCpqgmAwZJuHA8jx8NaCAAf53Q==">AMUW2mUvYP3qb6uajnC6xSk6Attlm53nEsXIcIkDF59koYfeDMXvWFoGuYZiT2qj4hxXpDzbGOdl2RYCgNfmiUX0kck2pG2jrfI8WOmUfNpGmoufw8znr1kEh79v1hUjWTPm1FsADkSr+4W4HwkC/pfk6iudjwOSHznikNChFw5qkvZ2Ff+JqkziGjioAG/O0XTsHwjoN4NCFb43uwz0fnVUZrZLM1DA3HGo/Ey2gaOPm5ExEDsLeDhqMW0neArQPKaK8Ok5t+ystJtfwnJp0GdRaGmdPHM066JScNL5aZu+j/nr6W6S34GZR/2alpJS0cSCa02pHwhdObjvQG7BICTCt0jS8rPOMbWSpGhtt0Kw8jsrFrmTgYUoaM9xg/YIZ6uU/YxvZ9lznjpJzJT85ys7Qn+YmSGgLWiExb47ohzFJjdjKYKHMuCjkvzhRBdVN0MS2GRx+V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5F99C2-2B8D-41B4-9717-B83EB23BDA24}">
  <ds:schemaRefs>
    <ds:schemaRef ds:uri="http://schemas.openxmlformats.org/officeDocument/2006/bibliography"/>
  </ds:schemaRefs>
</ds:datastoreItem>
</file>

<file path=customXml/itemProps3.xml><?xml version="1.0" encoding="utf-8"?>
<ds:datastoreItem xmlns:ds="http://schemas.openxmlformats.org/officeDocument/2006/customXml" ds:itemID="{A1FA787B-D609-4EE2-B278-8CCC7303ACC3}"/>
</file>

<file path=customXml/itemProps4.xml><?xml version="1.0" encoding="utf-8"?>
<ds:datastoreItem xmlns:ds="http://schemas.openxmlformats.org/officeDocument/2006/customXml" ds:itemID="{4E46B6C0-F95B-462A-9AE4-98640919950A}"/>
</file>

<file path=customXml/itemProps5.xml><?xml version="1.0" encoding="utf-8"?>
<ds:datastoreItem xmlns:ds="http://schemas.openxmlformats.org/officeDocument/2006/customXml" ds:itemID="{BA7E92D8-9D48-499B-AACA-09725DC92C1F}"/>
</file>

<file path=docProps/app.xml><?xml version="1.0" encoding="utf-8"?>
<Properties xmlns="http://schemas.openxmlformats.org/officeDocument/2006/extended-properties" xmlns:vt="http://schemas.openxmlformats.org/officeDocument/2006/docPropsVTypes">
  <Template>Normal</Template>
  <TotalTime>3</TotalTime>
  <Pages>11</Pages>
  <Words>3360</Words>
  <Characters>19154</Characters>
  <Application>Microsoft Office Word</Application>
  <DocSecurity>0</DocSecurity>
  <Lines>159</Lines>
  <Paragraphs>44</Paragraphs>
  <ScaleCrop>false</ScaleCrop>
  <Company>Cabinet Office</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Charlton</dc:creator>
  <cp:lastModifiedBy>Liz Hobson</cp:lastModifiedBy>
  <cp:revision>3</cp:revision>
  <dcterms:created xsi:type="dcterms:W3CDTF">2021-06-24T08:56:00Z</dcterms:created>
  <dcterms:modified xsi:type="dcterms:W3CDTF">2021-07-06T16:17:00Z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uk-blank</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17 November 2017 D1V5</vt:lpwstr>
  </property>
  <property fmtid="{D5CDD505-2E9C-101B-9397-08002B2CF9AE}" pid="8" name="ContentTypeId">
    <vt:lpwstr>0x010100DABEEA943F9FB541A5AA9DC9E9C180D5</vt:lpwstr>
  </property>
</Properties>
</file>